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9D" w:rsidRDefault="00A76A51" w:rsidP="00DB579D">
      <w:pPr>
        <w:autoSpaceDE w:val="0"/>
        <w:autoSpaceDN w:val="0"/>
        <w:adjustRightInd w:val="0"/>
        <w:spacing w:line="240" w:lineRule="auto"/>
        <w:jc w:val="center"/>
        <w:rPr>
          <w:rFonts w:ascii="Garamond-Bold" w:hAnsi="Garamond-Bold" w:cs="Garamond-Bold"/>
          <w:b/>
          <w:bCs/>
          <w:sz w:val="24"/>
          <w:szCs w:val="24"/>
        </w:rPr>
      </w:pPr>
      <w:r>
        <w:rPr>
          <w:rFonts w:ascii="Garamond-Bold" w:hAnsi="Garamond-Bold" w:cs="Garamond-Bold"/>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1725433</wp:posOffset>
                </wp:positionH>
                <wp:positionV relativeFrom="paragraph">
                  <wp:posOffset>-159026</wp:posOffset>
                </wp:positionV>
                <wp:extent cx="1924216" cy="811033"/>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1924216" cy="8110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28B7" w:rsidRDefault="004628B7" w:rsidP="00A76A51">
                            <w:pPr>
                              <w:shd w:val="clear" w:color="auto" w:fill="D9D9D9" w:themeFill="background1" w:themeFillShade="D9"/>
                              <w:autoSpaceDE w:val="0"/>
                              <w:autoSpaceDN w:val="0"/>
                              <w:adjustRightInd w:val="0"/>
                              <w:spacing w:line="240" w:lineRule="auto"/>
                              <w:jc w:val="center"/>
                              <w:rPr>
                                <w:rFonts w:ascii="Garamond-Bold" w:hAnsi="Garamond-Bold" w:cs="Garamond-Bold"/>
                                <w:b/>
                                <w:bCs/>
                                <w:sz w:val="24"/>
                                <w:szCs w:val="24"/>
                              </w:rPr>
                            </w:pPr>
                            <w:r>
                              <w:rPr>
                                <w:rFonts w:ascii="Garamond-Bold" w:hAnsi="Garamond-Bold" w:cs="Garamond-Bold"/>
                                <w:b/>
                                <w:bCs/>
                                <w:sz w:val="24"/>
                                <w:szCs w:val="24"/>
                              </w:rPr>
                              <w:t>Social Epistemology</w:t>
                            </w:r>
                            <w:r w:rsidR="00986413">
                              <w:rPr>
                                <w:rFonts w:ascii="Garamond-Bold" w:hAnsi="Garamond-Bold" w:cs="Garamond-Bold"/>
                                <w:b/>
                                <w:bCs/>
                                <w:sz w:val="24"/>
                                <w:szCs w:val="24"/>
                              </w:rPr>
                              <w:t xml:space="preserve"> and Post-truth</w:t>
                            </w:r>
                            <w:r>
                              <w:rPr>
                                <w:rFonts w:ascii="Garamond-Bold" w:hAnsi="Garamond-Bold" w:cs="Garamond-Bold"/>
                                <w:b/>
                                <w:bCs/>
                                <w:sz w:val="24"/>
                                <w:szCs w:val="24"/>
                              </w:rPr>
                              <w:t xml:space="preserve"> </w:t>
                            </w:r>
                          </w:p>
                          <w:p w:rsidR="00986413" w:rsidRDefault="00986413" w:rsidP="00986413">
                            <w:pPr>
                              <w:shd w:val="clear" w:color="auto" w:fill="D9D9D9" w:themeFill="background1" w:themeFillShade="D9"/>
                              <w:autoSpaceDE w:val="0"/>
                              <w:autoSpaceDN w:val="0"/>
                              <w:adjustRightInd w:val="0"/>
                              <w:spacing w:line="240" w:lineRule="auto"/>
                              <w:jc w:val="center"/>
                              <w:rPr>
                                <w:rFonts w:ascii="Garamond" w:hAnsi="Garamond" w:cs="Garamond"/>
                                <w:sz w:val="24"/>
                                <w:szCs w:val="24"/>
                              </w:rPr>
                            </w:pPr>
                          </w:p>
                          <w:p w:rsidR="004628B7" w:rsidRPr="00986413" w:rsidRDefault="00986413" w:rsidP="00986413">
                            <w:pPr>
                              <w:shd w:val="clear" w:color="auto" w:fill="D9D9D9" w:themeFill="background1" w:themeFillShade="D9"/>
                              <w:autoSpaceDE w:val="0"/>
                              <w:autoSpaceDN w:val="0"/>
                              <w:adjustRightInd w:val="0"/>
                              <w:spacing w:line="240" w:lineRule="auto"/>
                              <w:jc w:val="center"/>
                              <w:rPr>
                                <w:rFonts w:ascii="Garamond" w:hAnsi="Garamond" w:cs="Garamond"/>
                                <w:sz w:val="24"/>
                                <w:szCs w:val="24"/>
                              </w:rPr>
                            </w:pPr>
                            <w:r>
                              <w:rPr>
                                <w:rFonts w:ascii="Garamond" w:hAnsi="Garamond" w:cs="Garamond"/>
                                <w:sz w:val="24"/>
                                <w:szCs w:val="24"/>
                              </w:rPr>
                              <w:t>Prof. Bennett Holman</w:t>
                            </w:r>
                          </w:p>
                          <w:p w:rsidR="004628B7" w:rsidRDefault="004628B7" w:rsidP="00A76A51">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85pt;margin-top:-12.5pt;width:151.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" fillcolor="white [3201]" stroked="f" strokeweight=".5pt">
                <v:textbox>
                  <w:txbxContent>
                    <w:p w:rsidR="004628B7" w:rsidRDefault="004628B7" w:rsidP="00A76A51">
                      <w:pPr>
                        <w:shd w:val="clear" w:color="auto" w:fill="D9D9D9" w:themeFill="background1" w:themeFillShade="D9"/>
                        <w:autoSpaceDE w:val="0"/>
                        <w:autoSpaceDN w:val="0"/>
                        <w:adjustRightInd w:val="0"/>
                        <w:spacing w:line="240" w:lineRule="auto"/>
                        <w:jc w:val="center"/>
                        <w:rPr>
                          <w:rFonts w:ascii="Garamond-Bold" w:hAnsi="Garamond-Bold" w:cs="Garamond-Bold"/>
                          <w:b/>
                          <w:bCs/>
                          <w:sz w:val="24"/>
                          <w:szCs w:val="24"/>
                        </w:rPr>
                      </w:pPr>
                      <w:r>
                        <w:rPr>
                          <w:rFonts w:ascii="Garamond-Bold" w:hAnsi="Garamond-Bold" w:cs="Garamond-Bold"/>
                          <w:b/>
                          <w:bCs/>
                          <w:sz w:val="24"/>
                          <w:szCs w:val="24"/>
                        </w:rPr>
                        <w:t>Social Epistemology</w:t>
                      </w:r>
                      <w:r w:rsidR="00986413">
                        <w:rPr>
                          <w:rFonts w:ascii="Garamond-Bold" w:hAnsi="Garamond-Bold" w:cs="Garamond-Bold"/>
                          <w:b/>
                          <w:bCs/>
                          <w:sz w:val="24"/>
                          <w:szCs w:val="24"/>
                        </w:rPr>
                        <w:t xml:space="preserve"> and Post-truth</w:t>
                      </w:r>
                      <w:r>
                        <w:rPr>
                          <w:rFonts w:ascii="Garamond-Bold" w:hAnsi="Garamond-Bold" w:cs="Garamond-Bold"/>
                          <w:b/>
                          <w:bCs/>
                          <w:sz w:val="24"/>
                          <w:szCs w:val="24"/>
                        </w:rPr>
                        <w:t xml:space="preserve"> </w:t>
                      </w:r>
                    </w:p>
                    <w:p w:rsidR="00986413" w:rsidRDefault="00986413" w:rsidP="00986413">
                      <w:pPr>
                        <w:shd w:val="clear" w:color="auto" w:fill="D9D9D9" w:themeFill="background1" w:themeFillShade="D9"/>
                        <w:autoSpaceDE w:val="0"/>
                        <w:autoSpaceDN w:val="0"/>
                        <w:adjustRightInd w:val="0"/>
                        <w:spacing w:line="240" w:lineRule="auto"/>
                        <w:jc w:val="center"/>
                        <w:rPr>
                          <w:rFonts w:ascii="Garamond" w:hAnsi="Garamond" w:cs="Garamond"/>
                          <w:sz w:val="24"/>
                          <w:szCs w:val="24"/>
                        </w:rPr>
                      </w:pPr>
                    </w:p>
                    <w:p w:rsidR="004628B7" w:rsidRPr="00986413" w:rsidRDefault="00986413" w:rsidP="00986413">
                      <w:pPr>
                        <w:shd w:val="clear" w:color="auto" w:fill="D9D9D9" w:themeFill="background1" w:themeFillShade="D9"/>
                        <w:autoSpaceDE w:val="0"/>
                        <w:autoSpaceDN w:val="0"/>
                        <w:adjustRightInd w:val="0"/>
                        <w:spacing w:line="240" w:lineRule="auto"/>
                        <w:jc w:val="center"/>
                        <w:rPr>
                          <w:rFonts w:ascii="Garamond" w:hAnsi="Garamond" w:cs="Garamond"/>
                          <w:sz w:val="24"/>
                          <w:szCs w:val="24"/>
                        </w:rPr>
                      </w:pPr>
                      <w:r>
                        <w:rPr>
                          <w:rFonts w:ascii="Garamond" w:hAnsi="Garamond" w:cs="Garamond"/>
                          <w:sz w:val="24"/>
                          <w:szCs w:val="24"/>
                        </w:rPr>
                        <w:t>Prof. Bennett Holman</w:t>
                      </w:r>
                    </w:p>
                    <w:p w:rsidR="004628B7" w:rsidRDefault="004628B7" w:rsidP="00A76A51">
                      <w:pPr>
                        <w:shd w:val="clear" w:color="auto" w:fill="D9D9D9" w:themeFill="background1" w:themeFillShade="D9"/>
                      </w:pPr>
                    </w:p>
                  </w:txbxContent>
                </v:textbox>
              </v:shape>
            </w:pict>
          </mc:Fallback>
        </mc:AlternateContent>
      </w:r>
    </w:p>
    <w:p w:rsidR="00DB579D" w:rsidRDefault="00DB579D" w:rsidP="00DB579D">
      <w:pPr>
        <w:rPr>
          <w:sz w:val="18"/>
          <w:szCs w:val="18"/>
        </w:rPr>
      </w:pPr>
    </w:p>
    <w:p w:rsidR="00A76A51" w:rsidRDefault="00A76A51" w:rsidP="00DB579D">
      <w:pPr>
        <w:rPr>
          <w:sz w:val="18"/>
          <w:szCs w:val="18"/>
        </w:rPr>
      </w:pPr>
    </w:p>
    <w:p w:rsidR="00A76A51" w:rsidRDefault="00A76A51" w:rsidP="00DB579D">
      <w:pPr>
        <w:rPr>
          <w:sz w:val="18"/>
          <w:szCs w:val="18"/>
        </w:rPr>
      </w:pPr>
    </w:p>
    <w:p w:rsidR="00A76A51" w:rsidRPr="00373292" w:rsidRDefault="00A76A51" w:rsidP="00DB579D">
      <w:pPr>
        <w:rPr>
          <w:sz w:val="18"/>
          <w:szCs w:val="18"/>
        </w:rPr>
      </w:pPr>
    </w:p>
    <w:p w:rsidR="009A46AC" w:rsidRDefault="006520A0" w:rsidP="00DB579D">
      <w:pPr>
        <w:rPr>
          <w:sz w:val="18"/>
          <w:szCs w:val="18"/>
        </w:rPr>
      </w:pPr>
      <w:r>
        <w:rPr>
          <w:noProof/>
          <w:sz w:val="24"/>
          <w:szCs w:val="24"/>
        </w:rPr>
        <mc:AlternateContent>
          <mc:Choice Requires="wps">
            <w:drawing>
              <wp:anchor distT="0" distB="0" distL="114300" distR="114300" simplePos="0" relativeHeight="251659264" behindDoc="0" locked="0" layoutInCell="1" allowOverlap="1" wp14:anchorId="75067D56" wp14:editId="1503361E">
                <wp:simplePos x="0" y="0"/>
                <wp:positionH relativeFrom="column">
                  <wp:posOffset>-79513</wp:posOffset>
                </wp:positionH>
                <wp:positionV relativeFrom="paragraph">
                  <wp:posOffset>28189</wp:posOffset>
                </wp:positionV>
                <wp:extent cx="5414010" cy="311691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414010" cy="31169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28B7" w:rsidRDefault="004628B7" w:rsidP="006520A0">
                            <w:pPr>
                              <w:shd w:val="clear" w:color="auto" w:fill="B6DDE8" w:themeFill="accent5" w:themeFillTint="66"/>
                              <w:rPr>
                                <w:sz w:val="24"/>
                                <w:szCs w:val="24"/>
                              </w:rPr>
                            </w:pPr>
                            <w:r>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r w:rsidRPr="009A46AC">
                              <w:rPr>
                                <w:sz w:val="24"/>
                                <w:szCs w:val="24"/>
                              </w:rPr>
                              <w:t xml:space="preserve">Description: This course addresses philosophical perspectives on knowledge.  It </w:t>
                            </w:r>
                            <w:r>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briefly</w:t>
                            </w:r>
                            <w:proofErr w:type="gramEnd"/>
                            <w:r w:rsidRPr="009A46AC">
                              <w:rPr>
                                <w:sz w:val="24"/>
                                <w:szCs w:val="24"/>
                              </w:rPr>
                              <w:t xml:space="preserve"> considers two extremes of knowledge: The isolated asocial knower and the</w:t>
                            </w:r>
                          </w:p>
                          <w:p w:rsidR="004628B7" w:rsidRDefault="004628B7" w:rsidP="006520A0">
                            <w:pPr>
                              <w:shd w:val="clear" w:color="auto" w:fill="B6DDE8" w:themeFill="accent5" w:themeFillTint="66"/>
                              <w:rPr>
                                <w:sz w:val="24"/>
                                <w:szCs w:val="24"/>
                              </w:rPr>
                            </w:pPr>
                            <w:r>
                              <w:rPr>
                                <w:sz w:val="24"/>
                                <w:szCs w:val="24"/>
                              </w:rPr>
                              <w:t xml:space="preserve"> </w:t>
                            </w:r>
                            <w:r w:rsidRPr="009A46AC">
                              <w:rPr>
                                <w:sz w:val="24"/>
                                <w:szCs w:val="24"/>
                              </w:rPr>
                              <w:t xml:space="preserve"> </w:t>
                            </w:r>
                            <w:proofErr w:type="gramStart"/>
                            <w:r w:rsidRPr="009A46AC">
                              <w:rPr>
                                <w:sz w:val="24"/>
                                <w:szCs w:val="24"/>
                              </w:rPr>
                              <w:t>social</w:t>
                            </w:r>
                            <w:proofErr w:type="gramEnd"/>
                            <w:r w:rsidRPr="009A46AC">
                              <w:rPr>
                                <w:sz w:val="24"/>
                                <w:szCs w:val="24"/>
                              </w:rPr>
                              <w:t xml:space="preserve"> construction of knowledge.  The course then traces out what an </w:t>
                            </w:r>
                            <w:r>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epistemology</w:t>
                            </w:r>
                            <w:proofErr w:type="gramEnd"/>
                            <w:r>
                              <w:rPr>
                                <w:sz w:val="24"/>
                                <w:szCs w:val="24"/>
                              </w:rPr>
                              <w:t xml:space="preserve"> must look like if it </w:t>
                            </w:r>
                            <w:r w:rsidRPr="009A46AC">
                              <w:rPr>
                                <w:sz w:val="24"/>
                                <w:szCs w:val="24"/>
                              </w:rPr>
                              <w:t xml:space="preserve">acknowledges knowledge is social, </w:t>
                            </w:r>
                            <w:r>
                              <w:rPr>
                                <w:sz w:val="24"/>
                                <w:szCs w:val="24"/>
                              </w:rPr>
                              <w:t xml:space="preserve">while denying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that</w:t>
                            </w:r>
                            <w:proofErr w:type="gramEnd"/>
                            <w:r>
                              <w:rPr>
                                <w:sz w:val="24"/>
                                <w:szCs w:val="24"/>
                              </w:rPr>
                              <w:t xml:space="preserve"> </w:t>
                            </w:r>
                            <w:r w:rsidRPr="009A46AC">
                              <w:rPr>
                                <w:sz w:val="24"/>
                                <w:szCs w:val="24"/>
                              </w:rPr>
                              <w:t xml:space="preserve">it is merely social.  </w:t>
                            </w:r>
                            <w:r>
                              <w:rPr>
                                <w:sz w:val="24"/>
                                <w:szCs w:val="24"/>
                              </w:rPr>
                              <w:t>Within this framework,</w:t>
                            </w:r>
                            <w:r w:rsidRPr="009A46AC">
                              <w:rPr>
                                <w:sz w:val="24"/>
                                <w:szCs w:val="24"/>
                              </w:rPr>
                              <w:t xml:space="preserve"> new questions come to the fore:  </w:t>
                            </w:r>
                          </w:p>
                          <w:p w:rsidR="004628B7" w:rsidRDefault="004628B7" w:rsidP="006520A0">
                            <w:pPr>
                              <w:shd w:val="clear" w:color="auto" w:fill="B6DDE8" w:themeFill="accent5" w:themeFillTint="66"/>
                              <w:rPr>
                                <w:sz w:val="24"/>
                                <w:szCs w:val="24"/>
                              </w:rPr>
                            </w:pPr>
                            <w:r>
                              <w:rPr>
                                <w:sz w:val="24"/>
                                <w:szCs w:val="24"/>
                              </w:rPr>
                              <w:t xml:space="preserve">  </w:t>
                            </w:r>
                            <w:r w:rsidRPr="009A46AC">
                              <w:rPr>
                                <w:sz w:val="24"/>
                                <w:szCs w:val="24"/>
                              </w:rPr>
                              <w:t xml:space="preserve">How should the testimony of others be treated?  What is the </w:t>
                            </w:r>
                            <w:proofErr w:type="gramStart"/>
                            <w:r w:rsidRPr="009A46AC">
                              <w:rPr>
                                <w:sz w:val="24"/>
                                <w:szCs w:val="24"/>
                              </w:rPr>
                              <w:t>epistemological</w:t>
                            </w:r>
                            <w:proofErr w:type="gramEnd"/>
                            <w:r w:rsidRPr="009A46AC">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implication</w:t>
                            </w:r>
                            <w:proofErr w:type="gramEnd"/>
                            <w:r w:rsidRPr="009A46AC">
                              <w:rPr>
                                <w:sz w:val="24"/>
                                <w:szCs w:val="24"/>
                              </w:rPr>
                              <w:t xml:space="preserve"> of disagreement?  How </w:t>
                            </w:r>
                            <w:proofErr w:type="gramStart"/>
                            <w:r w:rsidRPr="009A46AC">
                              <w:rPr>
                                <w:sz w:val="24"/>
                                <w:szCs w:val="24"/>
                              </w:rPr>
                              <w:t>should testimony</w:t>
                            </w:r>
                            <w:proofErr w:type="gramEnd"/>
                            <w:r w:rsidRPr="009A46AC">
                              <w:rPr>
                                <w:sz w:val="24"/>
                                <w:szCs w:val="24"/>
                              </w:rPr>
                              <w:t xml:space="preserve"> be handled when it comes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from</w:t>
                            </w:r>
                            <w:proofErr w:type="gramEnd"/>
                            <w:r w:rsidRPr="009A46AC">
                              <w:rPr>
                                <w:sz w:val="24"/>
                                <w:szCs w:val="24"/>
                              </w:rPr>
                              <w:t xml:space="preserve"> an expert?</w:t>
                            </w:r>
                            <w:r>
                              <w:rPr>
                                <w:sz w:val="24"/>
                                <w:szCs w:val="24"/>
                              </w:rPr>
                              <w:t xml:space="preserve">  After a first brush with these questions in abstract, the class looks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at</w:t>
                            </w:r>
                            <w:proofErr w:type="gramEnd"/>
                            <w:r>
                              <w:rPr>
                                <w:sz w:val="24"/>
                                <w:szCs w:val="24"/>
                              </w:rPr>
                              <w:t xml:space="preserve"> several different specific epistemic contexts (Science, Medicine, Law) as test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cases</w:t>
                            </w:r>
                            <w:proofErr w:type="gramEnd"/>
                            <w:r>
                              <w:rPr>
                                <w:sz w:val="24"/>
                                <w:szCs w:val="24"/>
                              </w:rPr>
                              <w:t xml:space="preserve"> for philosophic accounts.  In conclusion, students are asked to consider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whether</w:t>
                            </w:r>
                            <w:proofErr w:type="gramEnd"/>
                            <w:r>
                              <w:rPr>
                                <w:sz w:val="24"/>
                                <w:szCs w:val="24"/>
                              </w:rPr>
                              <w:t xml:space="preserve">, given the diversity of epistemic contexts, any general answer can be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given</w:t>
                            </w:r>
                            <w:proofErr w:type="gramEnd"/>
                            <w:r>
                              <w:rPr>
                                <w:sz w:val="24"/>
                                <w:szCs w:val="24"/>
                              </w:rPr>
                              <w:t xml:space="preserve"> to the basic questions of social epistemology, or if such questions must be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contextualized</w:t>
                            </w:r>
                            <w:proofErr w:type="gramEnd"/>
                            <w:r>
                              <w:rPr>
                                <w:sz w:val="24"/>
                                <w:szCs w:val="24"/>
                              </w:rPr>
                              <w:t xml:space="preserve"> to be answered meaningfully.  </w:t>
                            </w:r>
                          </w:p>
                          <w:p w:rsidR="004628B7" w:rsidRPr="009A46AC" w:rsidRDefault="004628B7" w:rsidP="006520A0">
                            <w:pPr>
                              <w:shd w:val="clear" w:color="auto" w:fill="B6DDE8" w:themeFill="accent5" w:themeFillTint="66"/>
                              <w:rPr>
                                <w:sz w:val="24"/>
                                <w:szCs w:val="24"/>
                              </w:rPr>
                            </w:pPr>
                          </w:p>
                          <w:p w:rsidR="004628B7" w:rsidRDefault="004628B7" w:rsidP="006520A0">
                            <w:pPr>
                              <w:shd w:val="clear" w:color="auto" w:fill="B6DDE8" w:themeFill="accent5"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7D56" id="Text Box 2" o:spid="_x0000_s1027" type="#_x0000_t202" style="position:absolute;margin-left:-6.25pt;margin-top:2.2pt;width:426.3pt;height:2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" fillcolor="white [3201]" stroked="f" strokeweight=".5pt">
                <v:textbox>
                  <w:txbxContent>
                    <w:p w:rsidR="004628B7" w:rsidRDefault="004628B7" w:rsidP="006520A0">
                      <w:pPr>
                        <w:shd w:val="clear" w:color="auto" w:fill="B6DDE8" w:themeFill="accent5" w:themeFillTint="66"/>
                        <w:rPr>
                          <w:sz w:val="24"/>
                          <w:szCs w:val="24"/>
                        </w:rPr>
                      </w:pPr>
                      <w:r>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r w:rsidRPr="009A46AC">
                        <w:rPr>
                          <w:sz w:val="24"/>
                          <w:szCs w:val="24"/>
                        </w:rPr>
                        <w:t xml:space="preserve">Description: This course addresses philosophical perspectives on knowledge.  It </w:t>
                      </w:r>
                      <w:r>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briefly</w:t>
                      </w:r>
                      <w:proofErr w:type="gramEnd"/>
                      <w:r w:rsidRPr="009A46AC">
                        <w:rPr>
                          <w:sz w:val="24"/>
                          <w:szCs w:val="24"/>
                        </w:rPr>
                        <w:t xml:space="preserve"> considers two extremes of knowledge: The isolated asocial knower and the</w:t>
                      </w:r>
                    </w:p>
                    <w:p w:rsidR="004628B7" w:rsidRDefault="004628B7" w:rsidP="006520A0">
                      <w:pPr>
                        <w:shd w:val="clear" w:color="auto" w:fill="B6DDE8" w:themeFill="accent5" w:themeFillTint="66"/>
                        <w:rPr>
                          <w:sz w:val="24"/>
                          <w:szCs w:val="24"/>
                        </w:rPr>
                      </w:pPr>
                      <w:r>
                        <w:rPr>
                          <w:sz w:val="24"/>
                          <w:szCs w:val="24"/>
                        </w:rPr>
                        <w:t xml:space="preserve"> </w:t>
                      </w:r>
                      <w:r w:rsidRPr="009A46AC">
                        <w:rPr>
                          <w:sz w:val="24"/>
                          <w:szCs w:val="24"/>
                        </w:rPr>
                        <w:t xml:space="preserve"> </w:t>
                      </w:r>
                      <w:proofErr w:type="gramStart"/>
                      <w:r w:rsidRPr="009A46AC">
                        <w:rPr>
                          <w:sz w:val="24"/>
                          <w:szCs w:val="24"/>
                        </w:rPr>
                        <w:t>social</w:t>
                      </w:r>
                      <w:proofErr w:type="gramEnd"/>
                      <w:r w:rsidRPr="009A46AC">
                        <w:rPr>
                          <w:sz w:val="24"/>
                          <w:szCs w:val="24"/>
                        </w:rPr>
                        <w:t xml:space="preserve"> construction of knowledge.  The course then traces out what an </w:t>
                      </w:r>
                      <w:r>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epistemology</w:t>
                      </w:r>
                      <w:proofErr w:type="gramEnd"/>
                      <w:r>
                        <w:rPr>
                          <w:sz w:val="24"/>
                          <w:szCs w:val="24"/>
                        </w:rPr>
                        <w:t xml:space="preserve"> must look like if it </w:t>
                      </w:r>
                      <w:r w:rsidRPr="009A46AC">
                        <w:rPr>
                          <w:sz w:val="24"/>
                          <w:szCs w:val="24"/>
                        </w:rPr>
                        <w:t xml:space="preserve">acknowledges knowledge is social, </w:t>
                      </w:r>
                      <w:r>
                        <w:rPr>
                          <w:sz w:val="24"/>
                          <w:szCs w:val="24"/>
                        </w:rPr>
                        <w:t xml:space="preserve">while denying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that</w:t>
                      </w:r>
                      <w:proofErr w:type="gramEnd"/>
                      <w:r>
                        <w:rPr>
                          <w:sz w:val="24"/>
                          <w:szCs w:val="24"/>
                        </w:rPr>
                        <w:t xml:space="preserve"> </w:t>
                      </w:r>
                      <w:r w:rsidRPr="009A46AC">
                        <w:rPr>
                          <w:sz w:val="24"/>
                          <w:szCs w:val="24"/>
                        </w:rPr>
                        <w:t xml:space="preserve">it is merely social.  </w:t>
                      </w:r>
                      <w:r>
                        <w:rPr>
                          <w:sz w:val="24"/>
                          <w:szCs w:val="24"/>
                        </w:rPr>
                        <w:t>Within this framework,</w:t>
                      </w:r>
                      <w:r w:rsidRPr="009A46AC">
                        <w:rPr>
                          <w:sz w:val="24"/>
                          <w:szCs w:val="24"/>
                        </w:rPr>
                        <w:t xml:space="preserve"> new questions come to the fore:  </w:t>
                      </w:r>
                    </w:p>
                    <w:p w:rsidR="004628B7" w:rsidRDefault="004628B7" w:rsidP="006520A0">
                      <w:pPr>
                        <w:shd w:val="clear" w:color="auto" w:fill="B6DDE8" w:themeFill="accent5" w:themeFillTint="66"/>
                        <w:rPr>
                          <w:sz w:val="24"/>
                          <w:szCs w:val="24"/>
                        </w:rPr>
                      </w:pPr>
                      <w:r>
                        <w:rPr>
                          <w:sz w:val="24"/>
                          <w:szCs w:val="24"/>
                        </w:rPr>
                        <w:t xml:space="preserve">  </w:t>
                      </w:r>
                      <w:r w:rsidRPr="009A46AC">
                        <w:rPr>
                          <w:sz w:val="24"/>
                          <w:szCs w:val="24"/>
                        </w:rPr>
                        <w:t xml:space="preserve">How should the testimony of others be treated?  What is the </w:t>
                      </w:r>
                      <w:proofErr w:type="gramStart"/>
                      <w:r w:rsidRPr="009A46AC">
                        <w:rPr>
                          <w:sz w:val="24"/>
                          <w:szCs w:val="24"/>
                        </w:rPr>
                        <w:t>epistemological</w:t>
                      </w:r>
                      <w:proofErr w:type="gramEnd"/>
                      <w:r w:rsidRPr="009A46AC">
                        <w:rPr>
                          <w:sz w:val="24"/>
                          <w:szCs w:val="24"/>
                        </w:rPr>
                        <w:t xml:space="preserve">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implication</w:t>
                      </w:r>
                      <w:proofErr w:type="gramEnd"/>
                      <w:r w:rsidRPr="009A46AC">
                        <w:rPr>
                          <w:sz w:val="24"/>
                          <w:szCs w:val="24"/>
                        </w:rPr>
                        <w:t xml:space="preserve"> of disagreement?  How </w:t>
                      </w:r>
                      <w:proofErr w:type="gramStart"/>
                      <w:r w:rsidRPr="009A46AC">
                        <w:rPr>
                          <w:sz w:val="24"/>
                          <w:szCs w:val="24"/>
                        </w:rPr>
                        <w:t>should testimony</w:t>
                      </w:r>
                      <w:proofErr w:type="gramEnd"/>
                      <w:r w:rsidRPr="009A46AC">
                        <w:rPr>
                          <w:sz w:val="24"/>
                          <w:szCs w:val="24"/>
                        </w:rPr>
                        <w:t xml:space="preserve"> be handled when it comes </w:t>
                      </w:r>
                    </w:p>
                    <w:p w:rsidR="004628B7" w:rsidRDefault="004628B7" w:rsidP="006520A0">
                      <w:pPr>
                        <w:shd w:val="clear" w:color="auto" w:fill="B6DDE8" w:themeFill="accent5" w:themeFillTint="66"/>
                        <w:rPr>
                          <w:sz w:val="24"/>
                          <w:szCs w:val="24"/>
                        </w:rPr>
                      </w:pPr>
                      <w:r>
                        <w:rPr>
                          <w:sz w:val="24"/>
                          <w:szCs w:val="24"/>
                        </w:rPr>
                        <w:t xml:space="preserve">  </w:t>
                      </w:r>
                      <w:proofErr w:type="gramStart"/>
                      <w:r w:rsidRPr="009A46AC">
                        <w:rPr>
                          <w:sz w:val="24"/>
                          <w:szCs w:val="24"/>
                        </w:rPr>
                        <w:t>from</w:t>
                      </w:r>
                      <w:proofErr w:type="gramEnd"/>
                      <w:r w:rsidRPr="009A46AC">
                        <w:rPr>
                          <w:sz w:val="24"/>
                          <w:szCs w:val="24"/>
                        </w:rPr>
                        <w:t xml:space="preserve"> an expert?</w:t>
                      </w:r>
                      <w:r>
                        <w:rPr>
                          <w:sz w:val="24"/>
                          <w:szCs w:val="24"/>
                        </w:rPr>
                        <w:t xml:space="preserve">  After a first brush with these questions in abstract, the class looks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at</w:t>
                      </w:r>
                      <w:proofErr w:type="gramEnd"/>
                      <w:r>
                        <w:rPr>
                          <w:sz w:val="24"/>
                          <w:szCs w:val="24"/>
                        </w:rPr>
                        <w:t xml:space="preserve"> several different specific epistemic contexts (Science, Medicine, Law) as test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cases</w:t>
                      </w:r>
                      <w:proofErr w:type="gramEnd"/>
                      <w:r>
                        <w:rPr>
                          <w:sz w:val="24"/>
                          <w:szCs w:val="24"/>
                        </w:rPr>
                        <w:t xml:space="preserve"> for philosophic accounts.  In conclusion, students are asked to consider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whether</w:t>
                      </w:r>
                      <w:proofErr w:type="gramEnd"/>
                      <w:r>
                        <w:rPr>
                          <w:sz w:val="24"/>
                          <w:szCs w:val="24"/>
                        </w:rPr>
                        <w:t xml:space="preserve">, given the diversity of epistemic contexts, any general answer can be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given</w:t>
                      </w:r>
                      <w:proofErr w:type="gramEnd"/>
                      <w:r>
                        <w:rPr>
                          <w:sz w:val="24"/>
                          <w:szCs w:val="24"/>
                        </w:rPr>
                        <w:t xml:space="preserve"> to the basic questions of social epistemology, or if such questions must be </w:t>
                      </w:r>
                    </w:p>
                    <w:p w:rsidR="004628B7" w:rsidRDefault="004628B7" w:rsidP="006520A0">
                      <w:pPr>
                        <w:shd w:val="clear" w:color="auto" w:fill="B6DDE8" w:themeFill="accent5" w:themeFillTint="66"/>
                        <w:rPr>
                          <w:sz w:val="24"/>
                          <w:szCs w:val="24"/>
                        </w:rPr>
                      </w:pPr>
                      <w:r>
                        <w:rPr>
                          <w:sz w:val="24"/>
                          <w:szCs w:val="24"/>
                        </w:rPr>
                        <w:t xml:space="preserve">  </w:t>
                      </w:r>
                      <w:proofErr w:type="gramStart"/>
                      <w:r>
                        <w:rPr>
                          <w:sz w:val="24"/>
                          <w:szCs w:val="24"/>
                        </w:rPr>
                        <w:t>contextualized</w:t>
                      </w:r>
                      <w:proofErr w:type="gramEnd"/>
                      <w:r>
                        <w:rPr>
                          <w:sz w:val="24"/>
                          <w:szCs w:val="24"/>
                        </w:rPr>
                        <w:t xml:space="preserve"> to be answered meaningfully.  </w:t>
                      </w:r>
                    </w:p>
                    <w:p w:rsidR="004628B7" w:rsidRPr="009A46AC" w:rsidRDefault="004628B7" w:rsidP="006520A0">
                      <w:pPr>
                        <w:shd w:val="clear" w:color="auto" w:fill="B6DDE8" w:themeFill="accent5" w:themeFillTint="66"/>
                        <w:rPr>
                          <w:sz w:val="24"/>
                          <w:szCs w:val="24"/>
                        </w:rPr>
                      </w:pPr>
                    </w:p>
                    <w:p w:rsidR="004628B7" w:rsidRDefault="004628B7" w:rsidP="006520A0">
                      <w:pPr>
                        <w:shd w:val="clear" w:color="auto" w:fill="B6DDE8" w:themeFill="accent5" w:themeFillTint="66"/>
                      </w:pPr>
                    </w:p>
                  </w:txbxContent>
                </v:textbox>
              </v:shape>
            </w:pict>
          </mc:Fallback>
        </mc:AlternateContent>
      </w:r>
    </w:p>
    <w:p w:rsidR="00DB579D" w:rsidRDefault="00DB579D" w:rsidP="00DB579D">
      <w:pPr>
        <w:rPr>
          <w:sz w:val="24"/>
          <w:szCs w:val="24"/>
        </w:rPr>
      </w:pPr>
    </w:p>
    <w:p w:rsidR="00DB4F9C" w:rsidRDefault="00DB4F9C" w:rsidP="00DB579D">
      <w:pPr>
        <w:rPr>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E2047F" w:rsidRDefault="00E2047F" w:rsidP="00DB4F9C">
      <w:pPr>
        <w:rPr>
          <w:b/>
          <w:sz w:val="24"/>
          <w:szCs w:val="24"/>
        </w:rPr>
      </w:pPr>
    </w:p>
    <w:p w:rsidR="00DB4F9C" w:rsidRPr="00F83C29" w:rsidRDefault="00DB4F9C" w:rsidP="00DB4F9C">
      <w:pPr>
        <w:rPr>
          <w:b/>
          <w:sz w:val="24"/>
          <w:szCs w:val="24"/>
        </w:rPr>
      </w:pPr>
      <w:r w:rsidRPr="00F83C29">
        <w:rPr>
          <w:b/>
          <w:sz w:val="24"/>
          <w:szCs w:val="24"/>
        </w:rPr>
        <w:t xml:space="preserve">Materials:  </w:t>
      </w:r>
    </w:p>
    <w:p w:rsidR="00816D77" w:rsidRDefault="00816D77" w:rsidP="00816D77">
      <w:pPr>
        <w:rPr>
          <w:sz w:val="24"/>
          <w:szCs w:val="24"/>
        </w:rPr>
      </w:pPr>
      <w:r w:rsidRPr="009A46AC">
        <w:rPr>
          <w:sz w:val="24"/>
          <w:szCs w:val="24"/>
        </w:rPr>
        <w:t xml:space="preserve">All the </w:t>
      </w:r>
      <w:r>
        <w:rPr>
          <w:sz w:val="24"/>
          <w:szCs w:val="24"/>
        </w:rPr>
        <w:t xml:space="preserve">readings will be available in a course reader.  </w:t>
      </w:r>
    </w:p>
    <w:p w:rsidR="00DB4F9C" w:rsidRPr="009A46AC" w:rsidRDefault="00816D77" w:rsidP="00DB4F9C">
      <w:pPr>
        <w:rPr>
          <w:sz w:val="24"/>
          <w:szCs w:val="24"/>
        </w:rPr>
      </w:pPr>
      <w:proofErr w:type="gramStart"/>
      <w:r>
        <w:rPr>
          <w:sz w:val="24"/>
          <w:szCs w:val="24"/>
        </w:rPr>
        <w:t>often</w:t>
      </w:r>
      <w:proofErr w:type="gramEnd"/>
      <w:r>
        <w:rPr>
          <w:sz w:val="24"/>
          <w:szCs w:val="24"/>
        </w:rPr>
        <w:t xml:space="preserve"> </w:t>
      </w:r>
      <w:r w:rsidR="00DB4F9C" w:rsidRPr="009A46AC">
        <w:rPr>
          <w:sz w:val="24"/>
          <w:szCs w:val="24"/>
        </w:rPr>
        <w:t>come from :</w:t>
      </w:r>
    </w:p>
    <w:p w:rsidR="00DB4F9C" w:rsidRDefault="00DB4F9C" w:rsidP="00DB4F9C">
      <w:pPr>
        <w:rPr>
          <w:sz w:val="24"/>
          <w:szCs w:val="24"/>
        </w:rPr>
      </w:pPr>
      <w:r>
        <w:rPr>
          <w:sz w:val="24"/>
          <w:szCs w:val="24"/>
        </w:rPr>
        <w:t xml:space="preserve">1. </w:t>
      </w:r>
      <w:r w:rsidR="00F83C29">
        <w:rPr>
          <w:sz w:val="24"/>
          <w:szCs w:val="24"/>
        </w:rPr>
        <w:t xml:space="preserve"> </w:t>
      </w:r>
      <w:r w:rsidRPr="000A5F8A">
        <w:rPr>
          <w:i/>
          <w:sz w:val="24"/>
          <w:szCs w:val="24"/>
        </w:rPr>
        <w:t>Social Epistemology: Critical Readings</w:t>
      </w:r>
      <w:r w:rsidRPr="009A46AC">
        <w:rPr>
          <w:sz w:val="24"/>
          <w:szCs w:val="24"/>
        </w:rPr>
        <w:t xml:space="preserve"> (Ed. A. Goldman; D. Whitcomb</w:t>
      </w:r>
      <w:r w:rsidR="00F83C29">
        <w:rPr>
          <w:sz w:val="24"/>
          <w:szCs w:val="24"/>
        </w:rPr>
        <w:t>, 2011</w:t>
      </w:r>
      <w:r w:rsidRPr="009A46AC">
        <w:rPr>
          <w:sz w:val="24"/>
          <w:szCs w:val="24"/>
        </w:rPr>
        <w:t>)</w:t>
      </w:r>
    </w:p>
    <w:p w:rsidR="006520A0" w:rsidRDefault="006520A0" w:rsidP="00DB4F9C">
      <w:pPr>
        <w:rPr>
          <w:sz w:val="24"/>
          <w:szCs w:val="24"/>
        </w:rPr>
      </w:pPr>
    </w:p>
    <w:p w:rsidR="00D71EC3" w:rsidRDefault="006520A0" w:rsidP="006520A0">
      <w:pPr>
        <w:jc w:val="center"/>
        <w:rPr>
          <w:sz w:val="24"/>
          <w:szCs w:val="24"/>
        </w:rPr>
      </w:pPr>
      <w:r>
        <w:rPr>
          <w:noProof/>
        </w:rPr>
        <w:drawing>
          <wp:inline distT="0" distB="0" distL="0" distR="0">
            <wp:extent cx="707666" cy="1063306"/>
            <wp:effectExtent l="0" t="0" r="0" b="3810"/>
            <wp:docPr id="3" name="Picture 3" descr="https://encrypted-tbn1.gstatic.com/images?q=tbn:ANd9GcRhuqDeRMEwj0W2Plg5BVh2yz3tWB7-pu2X1xg5rpORYZsC7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huqDeRMEwj0W2Plg5BVh2yz3tWB7-pu2X1xg5rpORYZsC70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726" cy="1063396"/>
                    </a:xfrm>
                    <a:prstGeom prst="rect">
                      <a:avLst/>
                    </a:prstGeom>
                    <a:noFill/>
                    <a:ln>
                      <a:noFill/>
                    </a:ln>
                  </pic:spPr>
                </pic:pic>
              </a:graphicData>
            </a:graphic>
          </wp:inline>
        </w:drawing>
      </w:r>
      <w:r>
        <w:rPr>
          <w:sz w:val="24"/>
          <w:szCs w:val="24"/>
        </w:rPr>
        <w:t xml:space="preserve">     </w:t>
      </w:r>
      <w:r w:rsidR="00896CF5">
        <w:rPr>
          <w:sz w:val="24"/>
          <w:szCs w:val="24"/>
        </w:rPr>
        <w:t xml:space="preserve">    </w:t>
      </w:r>
    </w:p>
    <w:p w:rsidR="00D71EC3" w:rsidRDefault="00D71EC3" w:rsidP="006520A0">
      <w:pPr>
        <w:jc w:val="center"/>
        <w:rPr>
          <w:sz w:val="24"/>
          <w:szCs w:val="24"/>
        </w:rPr>
      </w:pPr>
    </w:p>
    <w:p w:rsidR="006520A0" w:rsidRPr="000A5F8A" w:rsidRDefault="006520A0" w:rsidP="006520A0">
      <w:pPr>
        <w:jc w:val="center"/>
        <w:rPr>
          <w:sz w:val="24"/>
          <w:szCs w:val="24"/>
        </w:rPr>
      </w:pPr>
      <w:r>
        <w:rPr>
          <w:sz w:val="24"/>
          <w:szCs w:val="24"/>
        </w:rPr>
        <w:t xml:space="preserve">          </w:t>
      </w:r>
    </w:p>
    <w:p w:rsidR="00DB4F9C" w:rsidRDefault="00DB4F9C" w:rsidP="00DB4F9C">
      <w:pPr>
        <w:rPr>
          <w:sz w:val="24"/>
          <w:szCs w:val="24"/>
        </w:rPr>
      </w:pPr>
    </w:p>
    <w:p w:rsidR="00816D77" w:rsidRDefault="00816D77" w:rsidP="00DB4F9C">
      <w:pPr>
        <w:rPr>
          <w:sz w:val="24"/>
          <w:szCs w:val="24"/>
        </w:rPr>
      </w:pPr>
    </w:p>
    <w:p w:rsidR="00816D77" w:rsidRDefault="00816D77" w:rsidP="00DB4F9C">
      <w:pPr>
        <w:rPr>
          <w:sz w:val="24"/>
          <w:szCs w:val="24"/>
        </w:rPr>
      </w:pPr>
    </w:p>
    <w:p w:rsidR="00DB4F9C" w:rsidRPr="009A46AC" w:rsidRDefault="00DB4F9C" w:rsidP="00DB4F9C">
      <w:pPr>
        <w:rPr>
          <w:sz w:val="24"/>
          <w:szCs w:val="24"/>
        </w:rPr>
      </w:pPr>
      <w:r w:rsidRPr="009A46AC">
        <w:rPr>
          <w:sz w:val="24"/>
          <w:szCs w:val="24"/>
        </w:rPr>
        <w:t xml:space="preserve"> </w:t>
      </w:r>
    </w:p>
    <w:p w:rsidR="006520A0" w:rsidRDefault="006520A0" w:rsidP="006520A0">
      <w:pPr>
        <w:rPr>
          <w:sz w:val="24"/>
          <w:szCs w:val="24"/>
        </w:rPr>
      </w:pPr>
    </w:p>
    <w:p w:rsidR="00DB4F9C" w:rsidRPr="006520A0" w:rsidRDefault="006520A0" w:rsidP="00DB4F9C">
      <w:pPr>
        <w:rPr>
          <w:sz w:val="24"/>
          <w:szCs w:val="24"/>
        </w:rPr>
      </w:pPr>
      <w:r w:rsidRPr="009A46AC">
        <w:rPr>
          <w:sz w:val="24"/>
          <w:szCs w:val="24"/>
        </w:rPr>
        <w:lastRenderedPageBreak/>
        <w:t>Students should also refer to the University General Catalog about standard policies and procedures</w:t>
      </w:r>
      <w:r w:rsidR="00A76A51">
        <w:rPr>
          <w:sz w:val="24"/>
          <w:szCs w:val="24"/>
        </w:rPr>
        <w:t>.</w:t>
      </w:r>
      <w:r w:rsidRPr="009A46AC">
        <w:rPr>
          <w:sz w:val="24"/>
          <w:szCs w:val="24"/>
        </w:rPr>
        <w:t xml:space="preserve"> </w:t>
      </w:r>
      <w:r w:rsidR="00DB4F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340"/>
        <w:gridCol w:w="5580"/>
      </w:tblGrid>
      <w:tr w:rsidR="00DB4F9C" w:rsidTr="00B768E0">
        <w:tc>
          <w:tcPr>
            <w:tcW w:w="1345" w:type="dxa"/>
            <w:shd w:val="clear" w:color="auto" w:fill="8DB3E2" w:themeFill="text2" w:themeFillTint="66"/>
          </w:tcPr>
          <w:p w:rsidR="00DB4F9C" w:rsidRDefault="00DB4F9C" w:rsidP="0070764C">
            <w:r>
              <w:t>Week</w:t>
            </w:r>
          </w:p>
        </w:tc>
        <w:tc>
          <w:tcPr>
            <w:tcW w:w="2340" w:type="dxa"/>
            <w:shd w:val="clear" w:color="auto" w:fill="E5B8B7" w:themeFill="accent2" w:themeFillTint="66"/>
          </w:tcPr>
          <w:p w:rsidR="00DB4F9C" w:rsidRDefault="00DB4F9C" w:rsidP="0070764C">
            <w:r>
              <w:t>Topic</w:t>
            </w:r>
          </w:p>
        </w:tc>
        <w:tc>
          <w:tcPr>
            <w:tcW w:w="5580" w:type="dxa"/>
            <w:shd w:val="clear" w:color="auto" w:fill="E5DFEC" w:themeFill="accent4" w:themeFillTint="33"/>
          </w:tcPr>
          <w:p w:rsidR="00DB4F9C" w:rsidRDefault="00DB4F9C" w:rsidP="0070764C">
            <w:r>
              <w:t>Readings</w:t>
            </w:r>
          </w:p>
        </w:tc>
      </w:tr>
      <w:tr w:rsidR="00DB4F9C" w:rsidTr="00B768E0">
        <w:tc>
          <w:tcPr>
            <w:tcW w:w="1345" w:type="dxa"/>
            <w:shd w:val="clear" w:color="auto" w:fill="8DB3E2" w:themeFill="text2" w:themeFillTint="66"/>
          </w:tcPr>
          <w:p w:rsidR="00DB4F9C" w:rsidRDefault="00DB4F9C" w:rsidP="0070764C">
            <w:r>
              <w:t>1</w:t>
            </w:r>
          </w:p>
          <w:p w:rsidR="00B768E0" w:rsidRDefault="00B768E0" w:rsidP="0070764C">
            <w:r>
              <w:t>March 4</w:t>
            </w:r>
            <w:r w:rsidRPr="00B768E0">
              <w:rPr>
                <w:vertAlign w:val="superscript"/>
              </w:rPr>
              <w:t>th</w:t>
            </w:r>
          </w:p>
        </w:tc>
        <w:tc>
          <w:tcPr>
            <w:tcW w:w="2340" w:type="dxa"/>
            <w:shd w:val="clear" w:color="auto" w:fill="E5B8B7" w:themeFill="accent2" w:themeFillTint="66"/>
          </w:tcPr>
          <w:p w:rsidR="00DB4F9C" w:rsidRDefault="00DB4F9C" w:rsidP="0070764C">
            <w:r>
              <w:t>Intro to the course/</w:t>
            </w:r>
          </w:p>
          <w:p w:rsidR="00DB4F9C" w:rsidRDefault="00DB4F9C" w:rsidP="0070764C">
            <w:r>
              <w:t>Justified True Belief</w:t>
            </w:r>
            <w:r w:rsidR="00923292">
              <w:t>/</w:t>
            </w:r>
          </w:p>
          <w:p w:rsidR="00923292" w:rsidRDefault="00923292" w:rsidP="0070764C">
            <w:r>
              <w:t>Symmetry principle</w:t>
            </w:r>
          </w:p>
        </w:tc>
        <w:tc>
          <w:tcPr>
            <w:tcW w:w="5580" w:type="dxa"/>
            <w:shd w:val="clear" w:color="auto" w:fill="E5DFEC" w:themeFill="accent4" w:themeFillTint="33"/>
          </w:tcPr>
          <w:p w:rsidR="00DB4F9C" w:rsidRDefault="00DC6F58" w:rsidP="0070764C">
            <w:r>
              <w:sym w:font="Wingdings" w:char="F076"/>
            </w:r>
            <w:r>
              <w:t xml:space="preserve"> </w:t>
            </w:r>
            <w:r w:rsidR="00986413">
              <w:t xml:space="preserve"> </w:t>
            </w:r>
            <w:r>
              <w:t xml:space="preserve">Goldman: “A Guide to Social Epistemology” (S.E. </w:t>
            </w:r>
            <w:proofErr w:type="spellStart"/>
            <w:r>
              <w:t>Ch</w:t>
            </w:r>
            <w:proofErr w:type="spellEnd"/>
            <w:r>
              <w:t xml:space="preserve"> 1)</w:t>
            </w:r>
          </w:p>
          <w:p w:rsidR="00923292" w:rsidRDefault="00923292" w:rsidP="0070764C">
            <w:r>
              <w:sym w:font="Wingdings" w:char="F076"/>
            </w:r>
            <w:r>
              <w:t xml:space="preserve">  Barnes, Barry and Bloor, David (1982), "Relativism, Rationalism, and the Sociology of Knowledge,"</w:t>
            </w:r>
          </w:p>
        </w:tc>
      </w:tr>
      <w:tr w:rsidR="00D71EC3" w:rsidTr="00B768E0">
        <w:tc>
          <w:tcPr>
            <w:tcW w:w="1345" w:type="dxa"/>
            <w:shd w:val="clear" w:color="auto" w:fill="8DB3E2" w:themeFill="text2" w:themeFillTint="66"/>
          </w:tcPr>
          <w:p w:rsidR="00D71EC3" w:rsidRDefault="00D71EC3" w:rsidP="0070764C">
            <w:r>
              <w:t>2</w:t>
            </w:r>
          </w:p>
          <w:p w:rsidR="00D71EC3" w:rsidRDefault="00D71EC3" w:rsidP="00B768E0">
            <w:pPr>
              <w:ind w:right="-85"/>
            </w:pPr>
            <w:r>
              <w:t>March 11</w:t>
            </w:r>
            <w:r w:rsidRPr="00B768E0">
              <w:rPr>
                <w:vertAlign w:val="superscript"/>
              </w:rPr>
              <w:t>th</w:t>
            </w:r>
          </w:p>
        </w:tc>
        <w:tc>
          <w:tcPr>
            <w:tcW w:w="2340" w:type="dxa"/>
            <w:shd w:val="clear" w:color="auto" w:fill="E5B8B7" w:themeFill="accent2" w:themeFillTint="66"/>
          </w:tcPr>
          <w:p w:rsidR="00FE6E13" w:rsidRDefault="00FE6E13" w:rsidP="00FE6E13">
            <w:r>
              <w:t xml:space="preserve">Testimony </w:t>
            </w:r>
          </w:p>
          <w:p w:rsidR="00D71EC3" w:rsidRDefault="00D71EC3" w:rsidP="0070764C"/>
        </w:tc>
        <w:tc>
          <w:tcPr>
            <w:tcW w:w="5580" w:type="dxa"/>
            <w:shd w:val="clear" w:color="auto" w:fill="E5DFEC" w:themeFill="accent4" w:themeFillTint="33"/>
          </w:tcPr>
          <w:p w:rsidR="00FE6E13" w:rsidRDefault="00FE6E13" w:rsidP="00FE6E13">
            <w:r>
              <w:sym w:font="Wingdings" w:char="F076"/>
            </w:r>
            <w:r>
              <w:t xml:space="preserve"> Lackey: “Testimony: Acquiring Knowledge from Others” (S.E. Ch. 4)</w:t>
            </w:r>
          </w:p>
          <w:p w:rsidR="00D71EC3" w:rsidRPr="009A46AC" w:rsidRDefault="00FE6E13" w:rsidP="00FE6E13">
            <w:r>
              <w:sym w:font="Wingdings" w:char="F076"/>
            </w:r>
            <w:r>
              <w:t xml:space="preserve"> </w:t>
            </w:r>
            <w:proofErr w:type="spellStart"/>
            <w:r>
              <w:t>Shapin</w:t>
            </w:r>
            <w:proofErr w:type="spellEnd"/>
            <w:r>
              <w:t xml:space="preserve"> (1995): “A Social History of Truth Telling: Knowledge, Social Practice and the Credibility of Gentlemen.”</w:t>
            </w:r>
          </w:p>
        </w:tc>
      </w:tr>
      <w:tr w:rsidR="00F567AC" w:rsidTr="00B768E0">
        <w:tc>
          <w:tcPr>
            <w:tcW w:w="1345" w:type="dxa"/>
            <w:shd w:val="clear" w:color="auto" w:fill="8DB3E2" w:themeFill="text2" w:themeFillTint="66"/>
          </w:tcPr>
          <w:p w:rsidR="00F567AC" w:rsidRDefault="00F567AC" w:rsidP="00F567AC">
            <w:r>
              <w:t>3</w:t>
            </w:r>
          </w:p>
          <w:p w:rsidR="00F567AC" w:rsidRDefault="00F567AC" w:rsidP="00F567AC">
            <w:r>
              <w:t>March 18</w:t>
            </w:r>
            <w:r w:rsidRPr="00B768E0">
              <w:rPr>
                <w:vertAlign w:val="superscript"/>
              </w:rPr>
              <w:t>th</w:t>
            </w:r>
          </w:p>
        </w:tc>
        <w:tc>
          <w:tcPr>
            <w:tcW w:w="2340" w:type="dxa"/>
            <w:shd w:val="clear" w:color="auto" w:fill="E5B8B7" w:themeFill="accent2" w:themeFillTint="66"/>
          </w:tcPr>
          <w:p w:rsidR="00FE6E13" w:rsidRDefault="00FE6E13" w:rsidP="00FE6E13">
            <w:r>
              <w:t>Peer disagreement</w:t>
            </w:r>
          </w:p>
          <w:p w:rsidR="00F567AC" w:rsidRDefault="00F567AC" w:rsidP="00FE6E13"/>
        </w:tc>
        <w:tc>
          <w:tcPr>
            <w:tcW w:w="5580" w:type="dxa"/>
            <w:shd w:val="clear" w:color="auto" w:fill="E5DFEC" w:themeFill="accent4" w:themeFillTint="33"/>
          </w:tcPr>
          <w:p w:rsidR="00FE6E13" w:rsidRDefault="00FE6E13" w:rsidP="00FE6E13">
            <w:r>
              <w:sym w:font="Wingdings" w:char="F076"/>
            </w:r>
            <w:r>
              <w:t xml:space="preserve"> Feldman: “Reasonable Religious Disagreements” </w:t>
            </w:r>
          </w:p>
          <w:p w:rsidR="00FE6E13" w:rsidRDefault="00FE6E13" w:rsidP="00FE6E13">
            <w:r>
              <w:t>(S.E. Ch. 7)</w:t>
            </w:r>
          </w:p>
          <w:p w:rsidR="00EF6D33" w:rsidRPr="00FE6E13" w:rsidRDefault="00FE6E13" w:rsidP="00F567AC">
            <w:pPr>
              <w:rPr>
                <w:rFonts w:eastAsia="Times New Roman" w:cs="Arial"/>
              </w:rPr>
            </w:pPr>
            <w:r>
              <w:sym w:font="Wingdings" w:char="F076"/>
            </w:r>
            <w:r>
              <w:t xml:space="preserve"> </w:t>
            </w:r>
            <w:r w:rsidRPr="002C7CFF">
              <w:rPr>
                <w:rFonts w:eastAsia="Times New Roman" w:cs="Arial"/>
              </w:rPr>
              <w:t xml:space="preserve">Thune, M. (2010). Religious belief and the epistemology of disagreement. </w:t>
            </w:r>
            <w:r w:rsidRPr="002C7CFF">
              <w:rPr>
                <w:rFonts w:eastAsia="Times New Roman" w:cs="Arial"/>
                <w:i/>
              </w:rPr>
              <w:t>Philosophy Compass</w:t>
            </w:r>
            <w:r w:rsidRPr="002C7CFF">
              <w:rPr>
                <w:rFonts w:eastAsia="Times New Roman" w:cs="Arial"/>
              </w:rPr>
              <w:t>,</w:t>
            </w:r>
            <w:r>
              <w:rPr>
                <w:rFonts w:eastAsia="Times New Roman" w:cs="Arial"/>
              </w:rPr>
              <w:t xml:space="preserve"> </w:t>
            </w:r>
            <w:r w:rsidRPr="002C7CFF">
              <w:rPr>
                <w:rFonts w:eastAsia="Times New Roman" w:cs="Arial"/>
              </w:rPr>
              <w:t>5(8), 712-724.</w:t>
            </w:r>
          </w:p>
        </w:tc>
      </w:tr>
      <w:tr w:rsidR="00F567AC" w:rsidTr="00B768E0">
        <w:tc>
          <w:tcPr>
            <w:tcW w:w="1345" w:type="dxa"/>
            <w:shd w:val="clear" w:color="auto" w:fill="8DB3E2" w:themeFill="text2" w:themeFillTint="66"/>
          </w:tcPr>
          <w:p w:rsidR="00F567AC" w:rsidRDefault="00F567AC" w:rsidP="00F567AC">
            <w:r>
              <w:t>4</w:t>
            </w:r>
          </w:p>
          <w:p w:rsidR="00F567AC" w:rsidRDefault="00F567AC" w:rsidP="00F567AC">
            <w:r>
              <w:t>March 25</w:t>
            </w:r>
            <w:r w:rsidRPr="00B768E0">
              <w:rPr>
                <w:vertAlign w:val="superscript"/>
              </w:rPr>
              <w:t>th</w:t>
            </w:r>
          </w:p>
        </w:tc>
        <w:tc>
          <w:tcPr>
            <w:tcW w:w="2340" w:type="dxa"/>
            <w:shd w:val="clear" w:color="auto" w:fill="E5B8B7" w:themeFill="accent2" w:themeFillTint="66"/>
          </w:tcPr>
          <w:p w:rsidR="00FE6E13" w:rsidRDefault="00FE6E13" w:rsidP="00F567AC">
            <w:r>
              <w:t>Epistemic Injustice</w:t>
            </w:r>
          </w:p>
        </w:tc>
        <w:tc>
          <w:tcPr>
            <w:tcW w:w="5580" w:type="dxa"/>
            <w:shd w:val="clear" w:color="auto" w:fill="E5DFEC" w:themeFill="accent4" w:themeFillTint="33"/>
          </w:tcPr>
          <w:p w:rsidR="00FE6E13" w:rsidRDefault="00FE6E13" w:rsidP="00FE6E13">
            <w:r>
              <w:sym w:font="Wingdings" w:char="F076"/>
            </w:r>
            <w:r>
              <w:t xml:space="preserve"> </w:t>
            </w:r>
            <w:proofErr w:type="spellStart"/>
            <w:r>
              <w:t>Fricker</w:t>
            </w:r>
            <w:proofErr w:type="spellEnd"/>
            <w:r>
              <w:t>: “Rational Authority and Social Power: Towards a Truly Social Epistemology” (S.E. Ch. 3)</w:t>
            </w:r>
          </w:p>
          <w:p w:rsidR="00FE6E13" w:rsidRPr="002C7CFF" w:rsidRDefault="00FE6E13" w:rsidP="00FE6E13">
            <w:pPr>
              <w:rPr>
                <w:i/>
              </w:rPr>
            </w:pPr>
            <w:r>
              <w:sym w:font="Wingdings" w:char="F076"/>
            </w:r>
            <w:r>
              <w:t xml:space="preserve"> McKinnon, R. (2016). Epistemic Injustice, </w:t>
            </w:r>
            <w:r>
              <w:rPr>
                <w:i/>
              </w:rPr>
              <w:t xml:space="preserve">Philosophy Compass, </w:t>
            </w:r>
            <w:r>
              <w:t>11, 437-446.</w:t>
            </w:r>
          </w:p>
        </w:tc>
      </w:tr>
      <w:tr w:rsidR="00F567AC" w:rsidTr="00B768E0">
        <w:tc>
          <w:tcPr>
            <w:tcW w:w="1345" w:type="dxa"/>
            <w:shd w:val="clear" w:color="auto" w:fill="8DB3E2" w:themeFill="text2" w:themeFillTint="66"/>
          </w:tcPr>
          <w:p w:rsidR="00F567AC" w:rsidRDefault="00F567AC" w:rsidP="00F567AC">
            <w:r>
              <w:t>5</w:t>
            </w:r>
          </w:p>
          <w:p w:rsidR="00F567AC" w:rsidRDefault="00F567AC" w:rsidP="00F567AC">
            <w:r>
              <w:t>April 1</w:t>
            </w:r>
            <w:r w:rsidRPr="00B768E0">
              <w:rPr>
                <w:vertAlign w:val="superscript"/>
              </w:rPr>
              <w:t>st</w:t>
            </w:r>
          </w:p>
        </w:tc>
        <w:tc>
          <w:tcPr>
            <w:tcW w:w="2340" w:type="dxa"/>
            <w:shd w:val="clear" w:color="auto" w:fill="E5B8B7" w:themeFill="accent2" w:themeFillTint="66"/>
          </w:tcPr>
          <w:p w:rsidR="00F567AC" w:rsidRDefault="00F567AC" w:rsidP="00F567AC">
            <w:pPr>
              <w:rPr>
                <w:b/>
                <w:sz w:val="28"/>
                <w:szCs w:val="28"/>
                <w:u w:val="single"/>
              </w:rPr>
            </w:pPr>
            <w:r w:rsidRPr="00BF388B">
              <w:rPr>
                <w:b/>
              </w:rPr>
              <w:t xml:space="preserve"> </w:t>
            </w:r>
            <w:r w:rsidRPr="002C7CFF">
              <w:rPr>
                <w:b/>
                <w:sz w:val="28"/>
                <w:szCs w:val="28"/>
                <w:u w:val="single"/>
              </w:rPr>
              <w:t>Paper 1 due</w:t>
            </w:r>
          </w:p>
          <w:p w:rsidR="00F567AC" w:rsidRDefault="00986413" w:rsidP="00986413">
            <w:r>
              <w:rPr>
                <w:b/>
                <w:sz w:val="28"/>
                <w:szCs w:val="28"/>
                <w:u w:val="single"/>
              </w:rPr>
              <w:t>Monday</w:t>
            </w:r>
          </w:p>
        </w:tc>
        <w:tc>
          <w:tcPr>
            <w:tcW w:w="5580" w:type="dxa"/>
            <w:shd w:val="clear" w:color="auto" w:fill="E5DFEC" w:themeFill="accent4" w:themeFillTint="33"/>
          </w:tcPr>
          <w:p w:rsidR="00F567AC" w:rsidRDefault="00F567AC" w:rsidP="00F567AC">
            <w:r>
              <w:sym w:font="Wingdings" w:char="F076"/>
            </w:r>
            <w:r>
              <w:t xml:space="preserve">  </w:t>
            </w:r>
            <w:r w:rsidRPr="00BF388B">
              <w:rPr>
                <w:b/>
              </w:rPr>
              <w:t>No Reading</w:t>
            </w:r>
            <w:r>
              <w:rPr>
                <w:b/>
              </w:rPr>
              <w:t xml:space="preserve"> </w:t>
            </w:r>
            <w:r w:rsidR="00B0498D">
              <w:rPr>
                <w:b/>
              </w:rPr>
              <w:t>this week</w:t>
            </w:r>
          </w:p>
        </w:tc>
      </w:tr>
      <w:tr w:rsidR="00F567AC" w:rsidTr="00B768E0">
        <w:tc>
          <w:tcPr>
            <w:tcW w:w="1345" w:type="dxa"/>
            <w:shd w:val="clear" w:color="auto" w:fill="8DB3E2" w:themeFill="text2" w:themeFillTint="66"/>
          </w:tcPr>
          <w:p w:rsidR="00F567AC" w:rsidRDefault="00F567AC" w:rsidP="00F567AC">
            <w:r>
              <w:t>6</w:t>
            </w:r>
          </w:p>
          <w:p w:rsidR="00F567AC" w:rsidRDefault="00F567AC" w:rsidP="00F567AC">
            <w:r>
              <w:t>April 8</w:t>
            </w:r>
            <w:r w:rsidRPr="00B768E0">
              <w:rPr>
                <w:vertAlign w:val="superscript"/>
              </w:rPr>
              <w:t>th</w:t>
            </w:r>
          </w:p>
          <w:p w:rsidR="00F567AC" w:rsidRDefault="00F567AC" w:rsidP="00F567AC"/>
        </w:tc>
        <w:tc>
          <w:tcPr>
            <w:tcW w:w="2340" w:type="dxa"/>
            <w:shd w:val="clear" w:color="auto" w:fill="E5B8B7" w:themeFill="accent2" w:themeFillTint="66"/>
          </w:tcPr>
          <w:p w:rsidR="00F567AC" w:rsidRDefault="00F567AC" w:rsidP="00F567AC">
            <w:r>
              <w:t>Inference from</w:t>
            </w:r>
            <w:r w:rsidR="00812153">
              <w:t xml:space="preserve"> Ignorance</w:t>
            </w:r>
            <w:r>
              <w:t>:</w:t>
            </w:r>
          </w:p>
          <w:p w:rsidR="00F567AC" w:rsidRDefault="00F567AC" w:rsidP="00F567AC"/>
        </w:tc>
        <w:tc>
          <w:tcPr>
            <w:tcW w:w="5580" w:type="dxa"/>
            <w:shd w:val="clear" w:color="auto" w:fill="E5DFEC" w:themeFill="accent4" w:themeFillTint="33"/>
          </w:tcPr>
          <w:p w:rsidR="00986413" w:rsidRPr="00986413" w:rsidRDefault="00986413" w:rsidP="00986413">
            <w:pPr>
              <w:rPr>
                <w:rFonts w:eastAsia="Times New Roman" w:cs="Arial"/>
              </w:rPr>
            </w:pPr>
            <w:r w:rsidRPr="00986413">
              <w:sym w:font="Wingdings" w:char="F076"/>
            </w:r>
            <w:r w:rsidRPr="00986413">
              <w:t xml:space="preserve"> </w:t>
            </w:r>
            <w:r w:rsidRPr="00986413">
              <w:rPr>
                <w:rFonts w:eastAsia="Times New Roman" w:cs="Arial"/>
              </w:rPr>
              <w:t>Goldberg “If that were true I would have heard about it by now.”</w:t>
            </w:r>
            <w:r>
              <w:rPr>
                <w:rFonts w:eastAsia="Times New Roman" w:cs="Arial"/>
              </w:rPr>
              <w:t xml:space="preserve"> (S.E. Ch. 5)</w:t>
            </w:r>
          </w:p>
          <w:p w:rsidR="00F567AC" w:rsidRPr="002C7CFF" w:rsidRDefault="00F567AC" w:rsidP="00F567AC">
            <w:pPr>
              <w:rPr>
                <w:rFonts w:eastAsia="Times New Roman" w:cs="Arial"/>
              </w:rPr>
            </w:pPr>
            <w:r w:rsidRPr="002C7CFF">
              <w:sym w:font="Wingdings" w:char="F076"/>
            </w:r>
            <w:r w:rsidRPr="002C7CFF">
              <w:t xml:space="preserve"> </w:t>
            </w:r>
            <w:proofErr w:type="spellStart"/>
            <w:r w:rsidRPr="002C7CFF">
              <w:rPr>
                <w:rFonts w:eastAsia="Times New Roman" w:cs="Arial"/>
              </w:rPr>
              <w:t>Gelfert</w:t>
            </w:r>
            <w:proofErr w:type="spellEnd"/>
            <w:r w:rsidRPr="002C7CFF">
              <w:rPr>
                <w:rFonts w:eastAsia="Times New Roman" w:cs="Arial"/>
              </w:rPr>
              <w:t xml:space="preserve">, A. (2013). Coverage-reliability, epistemic dependence, and the problem of rumor-based belief. </w:t>
            </w:r>
          </w:p>
          <w:p w:rsidR="00F567AC" w:rsidRPr="00812153" w:rsidRDefault="00F567AC" w:rsidP="00812153">
            <w:pPr>
              <w:spacing w:line="240" w:lineRule="auto"/>
              <w:rPr>
                <w:rFonts w:eastAsia="Times New Roman" w:cs="Arial"/>
              </w:rPr>
            </w:pPr>
            <w:proofErr w:type="spellStart"/>
            <w:r w:rsidRPr="00602CAE">
              <w:rPr>
                <w:rFonts w:eastAsia="Times New Roman" w:cs="Arial"/>
                <w:i/>
              </w:rPr>
              <w:t>Philosophia</w:t>
            </w:r>
            <w:proofErr w:type="spellEnd"/>
            <w:r w:rsidRPr="002C7CFF">
              <w:rPr>
                <w:rFonts w:eastAsia="Times New Roman" w:cs="Arial"/>
              </w:rPr>
              <w:t>,</w:t>
            </w:r>
            <w:r>
              <w:rPr>
                <w:rFonts w:eastAsia="Times New Roman" w:cs="Arial"/>
              </w:rPr>
              <w:t xml:space="preserve"> </w:t>
            </w:r>
            <w:r w:rsidRPr="002C7CFF">
              <w:rPr>
                <w:rFonts w:eastAsia="Times New Roman" w:cs="Arial"/>
              </w:rPr>
              <w:t>41(3</w:t>
            </w:r>
            <w:r w:rsidR="00812153">
              <w:rPr>
                <w:rFonts w:eastAsia="Times New Roman" w:cs="Arial"/>
              </w:rPr>
              <w:t>), 763-786.</w:t>
            </w:r>
          </w:p>
          <w:p w:rsidR="00812153" w:rsidRPr="00812153" w:rsidRDefault="00812153" w:rsidP="00812153">
            <w:pPr>
              <w:autoSpaceDE w:val="0"/>
              <w:autoSpaceDN w:val="0"/>
              <w:adjustRightInd w:val="0"/>
              <w:spacing w:line="240" w:lineRule="auto"/>
            </w:pPr>
          </w:p>
          <w:p w:rsidR="00F567AC" w:rsidRDefault="00F567AC" w:rsidP="00F567AC"/>
        </w:tc>
      </w:tr>
      <w:tr w:rsidR="00F567AC" w:rsidTr="00B768E0">
        <w:tc>
          <w:tcPr>
            <w:tcW w:w="1345" w:type="dxa"/>
            <w:shd w:val="clear" w:color="auto" w:fill="8DB3E2" w:themeFill="text2" w:themeFillTint="66"/>
          </w:tcPr>
          <w:p w:rsidR="00F567AC" w:rsidRDefault="00F567AC" w:rsidP="00F567AC">
            <w:r>
              <w:t>7</w:t>
            </w:r>
          </w:p>
          <w:p w:rsidR="00F567AC" w:rsidRDefault="00F567AC" w:rsidP="00F567AC">
            <w:r>
              <w:t>April 15</w:t>
            </w:r>
            <w:r w:rsidRPr="00B768E0">
              <w:rPr>
                <w:vertAlign w:val="superscript"/>
              </w:rPr>
              <w:t>th</w:t>
            </w:r>
          </w:p>
          <w:p w:rsidR="00F567AC" w:rsidRDefault="00F567AC" w:rsidP="00F567AC"/>
        </w:tc>
        <w:tc>
          <w:tcPr>
            <w:tcW w:w="2340" w:type="dxa"/>
            <w:shd w:val="clear" w:color="auto" w:fill="E5B8B7" w:themeFill="accent2" w:themeFillTint="66"/>
          </w:tcPr>
          <w:p w:rsidR="00F567AC" w:rsidRDefault="00FD52A8" w:rsidP="00F567AC">
            <w:r>
              <w:t>Agnotology</w:t>
            </w:r>
          </w:p>
        </w:tc>
        <w:tc>
          <w:tcPr>
            <w:tcW w:w="5580" w:type="dxa"/>
            <w:shd w:val="clear" w:color="auto" w:fill="E5DFEC" w:themeFill="accent4" w:themeFillTint="33"/>
          </w:tcPr>
          <w:p w:rsidR="00FD52A8" w:rsidRDefault="00FD52A8" w:rsidP="00FD52A8">
            <w:pPr>
              <w:rPr>
                <w:rFonts w:eastAsia="Times New Roman" w:cs="Arial"/>
                <w:i/>
              </w:rPr>
            </w:pPr>
            <w:r>
              <w:sym w:font="Wingdings" w:char="F076"/>
            </w:r>
            <w:r>
              <w:t xml:space="preserve"> </w:t>
            </w:r>
            <w:proofErr w:type="spellStart"/>
            <w:r w:rsidRPr="00812153">
              <w:rPr>
                <w:rFonts w:cs="AdvTTa9c1b374"/>
              </w:rPr>
              <w:t>Fernández</w:t>
            </w:r>
            <w:proofErr w:type="spellEnd"/>
            <w:r w:rsidRPr="00812153">
              <w:rPr>
                <w:rFonts w:cs="AdvTTa9c1b374"/>
              </w:rPr>
              <w:t xml:space="preserve"> Pinto, M. (2015). Tensions in agnotology: Normativity in the studies of commercially</w:t>
            </w:r>
            <w:r w:rsidRPr="00812153">
              <w:rPr>
                <w:rFonts w:eastAsia="AdvTTa9c1b374+20" w:cs="AdvTTa9c1b374+20"/>
              </w:rPr>
              <w:t>‐</w:t>
            </w:r>
            <w:r w:rsidRPr="00812153">
              <w:rPr>
                <w:rFonts w:cs="AdvTTa9c1b374"/>
              </w:rPr>
              <w:t xml:space="preserve">driven ignorance. </w:t>
            </w:r>
            <w:r w:rsidRPr="00602CAE">
              <w:rPr>
                <w:rFonts w:cs="AdvTTeb5f0e55.I"/>
                <w:i/>
              </w:rPr>
              <w:t>Social Studies of Science</w:t>
            </w:r>
            <w:r w:rsidRPr="00812153">
              <w:rPr>
                <w:rFonts w:cs="AdvTTa9c1b374"/>
              </w:rPr>
              <w:t xml:space="preserve">, </w:t>
            </w:r>
            <w:r w:rsidRPr="00812153">
              <w:rPr>
                <w:rFonts w:cs="AdvTTeb5f0e55.I"/>
              </w:rPr>
              <w:t>45</w:t>
            </w:r>
            <w:r w:rsidRPr="00812153">
              <w:rPr>
                <w:rFonts w:cs="AdvTTa9c1b374"/>
              </w:rPr>
              <w:t>, 294</w:t>
            </w:r>
            <w:r w:rsidRPr="00812153">
              <w:rPr>
                <w:rFonts w:eastAsia="AdvTTa9c1b374+20" w:cs="AdvTTa9c1b374+20"/>
              </w:rPr>
              <w:t>–</w:t>
            </w:r>
            <w:r w:rsidRPr="00812153">
              <w:rPr>
                <w:rFonts w:cs="AdvTTa9c1b374"/>
              </w:rPr>
              <w:t>315.</w:t>
            </w:r>
          </w:p>
          <w:p w:rsidR="00F567AC" w:rsidRPr="00BF388B" w:rsidRDefault="00FD52A8" w:rsidP="00602CAE">
            <w:pPr>
              <w:autoSpaceDE w:val="0"/>
              <w:autoSpaceDN w:val="0"/>
              <w:adjustRightInd w:val="0"/>
              <w:spacing w:line="240" w:lineRule="auto"/>
            </w:pPr>
            <w:r>
              <w:sym w:font="Wingdings" w:char="F076"/>
            </w:r>
            <w:r w:rsidRPr="00FD52A8">
              <w:t xml:space="preserve"> </w:t>
            </w:r>
            <w:r w:rsidRPr="00FD52A8">
              <w:rPr>
                <w:rFonts w:cs="AdvTTa9c1b374"/>
              </w:rPr>
              <w:t xml:space="preserve">Biddle, J., &amp; </w:t>
            </w:r>
            <w:proofErr w:type="spellStart"/>
            <w:r w:rsidRPr="00FD52A8">
              <w:rPr>
                <w:rFonts w:cs="AdvTTa9c1b374"/>
              </w:rPr>
              <w:t>Leuschner</w:t>
            </w:r>
            <w:proofErr w:type="spellEnd"/>
            <w:r w:rsidRPr="00FD52A8">
              <w:rPr>
                <w:rFonts w:cs="AdvTTa9c1b374"/>
              </w:rPr>
              <w:t>, A. (2015). Climate skepticism and the manufacture of doubt: Can dissent in science be epistemically</w:t>
            </w:r>
            <w:r>
              <w:rPr>
                <w:rFonts w:cs="AdvTTa9c1b374"/>
              </w:rPr>
              <w:t xml:space="preserve"> </w:t>
            </w:r>
            <w:r w:rsidRPr="00FD52A8">
              <w:rPr>
                <w:rFonts w:cs="AdvTTa9c1b374"/>
              </w:rPr>
              <w:t xml:space="preserve">detrimental? </w:t>
            </w:r>
            <w:r w:rsidRPr="00602CAE">
              <w:rPr>
                <w:rFonts w:cs="AdvTTeb5f0e55.I"/>
                <w:i/>
              </w:rPr>
              <w:t>European Journal of Philosophy</w:t>
            </w:r>
            <w:r w:rsidRPr="00FD52A8">
              <w:rPr>
                <w:rFonts w:cs="AdvTTa9c1b374"/>
              </w:rPr>
              <w:t xml:space="preserve">, </w:t>
            </w:r>
            <w:r w:rsidRPr="00FD52A8">
              <w:rPr>
                <w:rFonts w:cs="AdvTTeb5f0e55.I"/>
              </w:rPr>
              <w:t>5</w:t>
            </w:r>
            <w:r w:rsidRPr="00FD52A8">
              <w:rPr>
                <w:rFonts w:cs="AdvTTa9c1b374"/>
              </w:rPr>
              <w:t>, 261</w:t>
            </w:r>
            <w:r w:rsidRPr="00FD52A8">
              <w:rPr>
                <w:rFonts w:eastAsia="AdvTTa9c1b374+20" w:cs="AdvTTa9c1b374+20"/>
              </w:rPr>
              <w:t>–</w:t>
            </w:r>
            <w:r w:rsidRPr="00FD52A8">
              <w:rPr>
                <w:rFonts w:cs="AdvTTa9c1b374"/>
              </w:rPr>
              <w:t>278.</w:t>
            </w:r>
          </w:p>
        </w:tc>
      </w:tr>
      <w:tr w:rsidR="00F567AC" w:rsidTr="00B768E0">
        <w:tc>
          <w:tcPr>
            <w:tcW w:w="1345" w:type="dxa"/>
            <w:shd w:val="clear" w:color="auto" w:fill="8DB3E2" w:themeFill="text2" w:themeFillTint="66"/>
          </w:tcPr>
          <w:p w:rsidR="00F567AC" w:rsidRDefault="00F567AC" w:rsidP="00F567AC">
            <w:r>
              <w:t xml:space="preserve">8 </w:t>
            </w:r>
          </w:p>
          <w:p w:rsidR="00F567AC" w:rsidRDefault="00F567AC" w:rsidP="00F567AC">
            <w:r>
              <w:t>April 22</w:t>
            </w:r>
            <w:r w:rsidRPr="00B768E0">
              <w:rPr>
                <w:vertAlign w:val="superscript"/>
              </w:rPr>
              <w:t>nd</w:t>
            </w:r>
          </w:p>
        </w:tc>
        <w:tc>
          <w:tcPr>
            <w:tcW w:w="2340" w:type="dxa"/>
            <w:shd w:val="clear" w:color="auto" w:fill="E5B8B7" w:themeFill="accent2" w:themeFillTint="66"/>
          </w:tcPr>
          <w:p w:rsidR="00F567AC" w:rsidRDefault="00F567AC" w:rsidP="00F567AC">
            <w:r>
              <w:t>No Midterm, no class</w:t>
            </w:r>
          </w:p>
        </w:tc>
        <w:tc>
          <w:tcPr>
            <w:tcW w:w="5580" w:type="dxa"/>
            <w:shd w:val="clear" w:color="auto" w:fill="E5DFEC" w:themeFill="accent4" w:themeFillTint="33"/>
          </w:tcPr>
          <w:p w:rsidR="00F567AC" w:rsidRDefault="00F567AC" w:rsidP="00F567AC"/>
        </w:tc>
      </w:tr>
      <w:tr w:rsidR="00F567AC" w:rsidTr="00B768E0">
        <w:tc>
          <w:tcPr>
            <w:tcW w:w="1345" w:type="dxa"/>
            <w:shd w:val="clear" w:color="auto" w:fill="8DB3E2" w:themeFill="text2" w:themeFillTint="66"/>
          </w:tcPr>
          <w:p w:rsidR="00F567AC" w:rsidRDefault="00F567AC" w:rsidP="00F567AC">
            <w:r>
              <w:t>9</w:t>
            </w:r>
          </w:p>
          <w:p w:rsidR="00F567AC" w:rsidRDefault="00F567AC" w:rsidP="00F567AC">
            <w:r>
              <w:t>April 29</w:t>
            </w:r>
            <w:r w:rsidRPr="00B768E0">
              <w:rPr>
                <w:vertAlign w:val="superscript"/>
              </w:rPr>
              <w:t>th</w:t>
            </w:r>
          </w:p>
        </w:tc>
        <w:tc>
          <w:tcPr>
            <w:tcW w:w="2340" w:type="dxa"/>
            <w:shd w:val="clear" w:color="auto" w:fill="E5B8B7" w:themeFill="accent2" w:themeFillTint="66"/>
          </w:tcPr>
          <w:p w:rsidR="00F567AC" w:rsidRDefault="00602CAE" w:rsidP="00F567AC">
            <w:r>
              <w:t>Industry-funding and the production of scientific knowledge</w:t>
            </w:r>
          </w:p>
        </w:tc>
        <w:tc>
          <w:tcPr>
            <w:tcW w:w="5580" w:type="dxa"/>
            <w:shd w:val="clear" w:color="auto" w:fill="E5DFEC" w:themeFill="accent4" w:themeFillTint="33"/>
          </w:tcPr>
          <w:p w:rsidR="00043739" w:rsidRPr="00043739" w:rsidRDefault="00043739" w:rsidP="00043739">
            <w:pPr>
              <w:autoSpaceDE w:val="0"/>
              <w:autoSpaceDN w:val="0"/>
              <w:adjustRightInd w:val="0"/>
              <w:spacing w:line="240" w:lineRule="auto"/>
            </w:pPr>
            <w:r w:rsidRPr="00043739">
              <w:sym w:font="Wingdings" w:char="F076"/>
            </w:r>
            <w:proofErr w:type="spellStart"/>
            <w:r w:rsidRPr="00043739">
              <w:rPr>
                <w:rFonts w:cs="AdvTTa9c1b374"/>
              </w:rPr>
              <w:t>Sismondo</w:t>
            </w:r>
            <w:proofErr w:type="spellEnd"/>
            <w:r w:rsidRPr="00043739">
              <w:rPr>
                <w:rFonts w:cs="AdvTTa9c1b374"/>
              </w:rPr>
              <w:t xml:space="preserve">, S. (2009). Ghosts in the machine: Publication planning in the medical sciences. </w:t>
            </w:r>
            <w:r w:rsidRPr="00602CAE">
              <w:rPr>
                <w:rFonts w:cs="AdvTTeb5f0e55.I"/>
                <w:i/>
              </w:rPr>
              <w:t>Social Studies of Science</w:t>
            </w:r>
            <w:r w:rsidRPr="00043739">
              <w:rPr>
                <w:rFonts w:cs="AdvTTa9c1b374"/>
              </w:rPr>
              <w:t xml:space="preserve">, </w:t>
            </w:r>
            <w:r w:rsidRPr="00043739">
              <w:rPr>
                <w:rFonts w:cs="AdvTTeb5f0e55.I"/>
              </w:rPr>
              <w:t>39</w:t>
            </w:r>
            <w:r w:rsidRPr="00043739">
              <w:rPr>
                <w:rFonts w:cs="AdvTTa9c1b374"/>
              </w:rPr>
              <w:t>,</w:t>
            </w:r>
            <w:r>
              <w:rPr>
                <w:rFonts w:cs="AdvTTa9c1b374"/>
              </w:rPr>
              <w:t xml:space="preserve"> </w:t>
            </w:r>
            <w:r w:rsidRPr="00043739">
              <w:rPr>
                <w:rFonts w:cs="AdvTTa9c1b374"/>
              </w:rPr>
              <w:t>171</w:t>
            </w:r>
            <w:r w:rsidRPr="00043739">
              <w:rPr>
                <w:rFonts w:eastAsia="AdvTTa9c1b374+20" w:cs="AdvTTa9c1b374+20"/>
              </w:rPr>
              <w:t>–</w:t>
            </w:r>
            <w:r w:rsidRPr="00043739">
              <w:rPr>
                <w:rFonts w:cs="AdvTTa9c1b374"/>
              </w:rPr>
              <w:t>198.</w:t>
            </w:r>
          </w:p>
          <w:p w:rsidR="00F567AC" w:rsidRDefault="00602CAE" w:rsidP="00F567AC">
            <w:r>
              <w:sym w:font="Wingdings" w:char="F076"/>
            </w:r>
            <w:r>
              <w:t xml:space="preserve"> Holman and Elliott (2018): The promise and perils of industry-funded science </w:t>
            </w:r>
            <w:r w:rsidRPr="002C7CFF">
              <w:rPr>
                <w:rFonts w:eastAsia="Times New Roman" w:cs="Arial"/>
                <w:i/>
              </w:rPr>
              <w:t>Philosophy Compass</w:t>
            </w:r>
            <w:r>
              <w:t xml:space="preserve"> </w:t>
            </w:r>
          </w:p>
        </w:tc>
      </w:tr>
      <w:tr w:rsidR="00F567AC" w:rsidTr="00B768E0">
        <w:tc>
          <w:tcPr>
            <w:tcW w:w="1345" w:type="dxa"/>
            <w:shd w:val="clear" w:color="auto" w:fill="8DB3E2" w:themeFill="text2" w:themeFillTint="66"/>
          </w:tcPr>
          <w:p w:rsidR="00F567AC" w:rsidRDefault="00F567AC" w:rsidP="00F567AC">
            <w:r>
              <w:t>10</w:t>
            </w:r>
          </w:p>
          <w:p w:rsidR="00F567AC" w:rsidRDefault="00F567AC" w:rsidP="00F567AC">
            <w:r>
              <w:t>May 6</w:t>
            </w:r>
            <w:r w:rsidRPr="00B768E0">
              <w:rPr>
                <w:vertAlign w:val="superscript"/>
              </w:rPr>
              <w:t>th</w:t>
            </w:r>
          </w:p>
          <w:p w:rsidR="00F567AC" w:rsidRDefault="00F567AC" w:rsidP="00F567AC"/>
        </w:tc>
        <w:tc>
          <w:tcPr>
            <w:tcW w:w="2340" w:type="dxa"/>
            <w:shd w:val="clear" w:color="auto" w:fill="E5B8B7" w:themeFill="accent2" w:themeFillTint="66"/>
          </w:tcPr>
          <w:p w:rsidR="00B0498D" w:rsidRDefault="00B0498D" w:rsidP="00B0498D">
            <w:r w:rsidRPr="002C7CFF">
              <w:rPr>
                <w:b/>
                <w:sz w:val="28"/>
                <w:szCs w:val="28"/>
                <w:u w:val="single"/>
              </w:rPr>
              <w:t>Paper 2 du</w:t>
            </w:r>
            <w:r>
              <w:rPr>
                <w:b/>
                <w:sz w:val="28"/>
                <w:szCs w:val="28"/>
                <w:u w:val="single"/>
              </w:rPr>
              <w:t>e Wedn</w:t>
            </w:r>
            <w:r w:rsidRPr="002C7CFF">
              <w:rPr>
                <w:b/>
                <w:sz w:val="28"/>
                <w:szCs w:val="28"/>
                <w:u w:val="single"/>
              </w:rPr>
              <w:t>e</w:t>
            </w:r>
            <w:r>
              <w:rPr>
                <w:b/>
                <w:sz w:val="28"/>
                <w:szCs w:val="28"/>
                <w:u w:val="single"/>
              </w:rPr>
              <w:t>sday</w:t>
            </w:r>
          </w:p>
        </w:tc>
        <w:tc>
          <w:tcPr>
            <w:tcW w:w="5580" w:type="dxa"/>
            <w:shd w:val="clear" w:color="auto" w:fill="E5DFEC" w:themeFill="accent4" w:themeFillTint="33"/>
          </w:tcPr>
          <w:p w:rsidR="00B0498D" w:rsidRDefault="00F567AC" w:rsidP="00F567AC">
            <w:r>
              <w:sym w:font="Wingdings" w:char="F076"/>
            </w:r>
            <w:r>
              <w:t xml:space="preserve">  </w:t>
            </w:r>
            <w:r w:rsidR="00B0498D" w:rsidRPr="00B0498D">
              <w:rPr>
                <w:b/>
                <w:color w:val="FF0000"/>
                <w:sz w:val="28"/>
                <w:szCs w:val="28"/>
              </w:rPr>
              <w:t>No class May 6</w:t>
            </w:r>
            <w:r w:rsidR="00B0498D" w:rsidRPr="00B0498D">
              <w:rPr>
                <w:b/>
                <w:color w:val="FF0000"/>
                <w:sz w:val="28"/>
                <w:szCs w:val="28"/>
                <w:vertAlign w:val="superscript"/>
              </w:rPr>
              <w:t>th</w:t>
            </w:r>
          </w:p>
          <w:p w:rsidR="00F567AC" w:rsidRDefault="00B0498D" w:rsidP="00F567AC">
            <w:r>
              <w:sym w:font="Wingdings" w:char="F076"/>
            </w:r>
            <w:r>
              <w:t xml:space="preserve">  </w:t>
            </w:r>
            <w:r w:rsidR="00F567AC" w:rsidRPr="00BF388B">
              <w:rPr>
                <w:b/>
              </w:rPr>
              <w:t>No Reading</w:t>
            </w:r>
            <w:r>
              <w:rPr>
                <w:b/>
              </w:rPr>
              <w:t xml:space="preserve"> this week</w:t>
            </w:r>
          </w:p>
        </w:tc>
      </w:tr>
      <w:tr w:rsidR="00F567AC" w:rsidTr="00B768E0">
        <w:tc>
          <w:tcPr>
            <w:tcW w:w="1345" w:type="dxa"/>
            <w:shd w:val="clear" w:color="auto" w:fill="8DB3E2" w:themeFill="text2" w:themeFillTint="66"/>
          </w:tcPr>
          <w:p w:rsidR="00F567AC" w:rsidRDefault="00F567AC" w:rsidP="00F567AC">
            <w:r>
              <w:t>11</w:t>
            </w:r>
          </w:p>
          <w:p w:rsidR="00F567AC" w:rsidRDefault="00F567AC" w:rsidP="00F567AC">
            <w:r>
              <w:t>May 13</w:t>
            </w:r>
            <w:r w:rsidRPr="00B768E0">
              <w:rPr>
                <w:vertAlign w:val="superscript"/>
              </w:rPr>
              <w:t>th</w:t>
            </w:r>
          </w:p>
        </w:tc>
        <w:tc>
          <w:tcPr>
            <w:tcW w:w="2340" w:type="dxa"/>
            <w:shd w:val="clear" w:color="auto" w:fill="E5B8B7" w:themeFill="accent2" w:themeFillTint="66"/>
          </w:tcPr>
          <w:p w:rsidR="00F567AC" w:rsidRDefault="00F567AC" w:rsidP="00F567AC">
            <w:r>
              <w:t>Trust in Experts</w:t>
            </w:r>
          </w:p>
          <w:p w:rsidR="00F567AC" w:rsidRDefault="00F567AC" w:rsidP="00F567AC"/>
        </w:tc>
        <w:tc>
          <w:tcPr>
            <w:tcW w:w="5580" w:type="dxa"/>
            <w:shd w:val="clear" w:color="auto" w:fill="E5DFEC" w:themeFill="accent4" w:themeFillTint="33"/>
          </w:tcPr>
          <w:p w:rsidR="00F567AC" w:rsidRDefault="00F567AC" w:rsidP="00F567AC">
            <w:pPr>
              <w:spacing w:line="240" w:lineRule="auto"/>
            </w:pPr>
            <w:r>
              <w:sym w:font="Wingdings" w:char="F076"/>
            </w:r>
            <w:r>
              <w:t xml:space="preserve">  Goldman: “Experts: Which Ones Should You Trust” (S.E. Ch. 6)</w:t>
            </w:r>
          </w:p>
          <w:p w:rsidR="00043739" w:rsidRDefault="00F567AC" w:rsidP="00F567AC">
            <w:pPr>
              <w:spacing w:line="240" w:lineRule="auto"/>
              <w:rPr>
                <w:rFonts w:cs="AdvTTa9c1b374"/>
              </w:rPr>
            </w:pPr>
            <w:r>
              <w:sym w:font="Wingdings" w:char="F076"/>
            </w:r>
            <w:r>
              <w:t xml:space="preserve"> </w:t>
            </w:r>
            <w:r w:rsidR="00B0498D">
              <w:t xml:space="preserve">John: </w:t>
            </w:r>
            <w:r w:rsidR="00B0498D" w:rsidRPr="004628B7">
              <w:t>Expert testimony and epistemological</w:t>
            </w:r>
            <w:r w:rsidR="00B0498D">
              <w:t xml:space="preserve"> </w:t>
            </w:r>
            <w:r w:rsidR="00B0498D" w:rsidRPr="004628B7">
              <w:t>free-riding: a</w:t>
            </w:r>
            <w:r w:rsidR="00B0498D">
              <w:t xml:space="preserve"> </w:t>
            </w:r>
            <w:r w:rsidR="00B0498D" w:rsidRPr="004628B7">
              <w:t xml:space="preserve"> case-study of the controversy</w:t>
            </w:r>
            <w:r w:rsidR="00B0498D">
              <w:t xml:space="preserve"> </w:t>
            </w:r>
            <w:r w:rsidR="00B0498D" w:rsidRPr="004628B7">
              <w:t>over the MMR vaccine</w:t>
            </w:r>
          </w:p>
          <w:p w:rsidR="00F567AC" w:rsidRPr="00986413" w:rsidRDefault="00043739" w:rsidP="00B0498D">
            <w:pPr>
              <w:spacing w:line="240" w:lineRule="auto"/>
              <w:rPr>
                <w:rFonts w:ascii="Calibri" w:eastAsia="Times New Roman" w:hAnsi="Calibri" w:cs="Times New Roman"/>
              </w:rPr>
            </w:pPr>
            <w:r>
              <w:sym w:font="Wingdings" w:char="F076"/>
            </w:r>
            <w:r>
              <w:t xml:space="preserve"> </w:t>
            </w:r>
            <w:proofErr w:type="spellStart"/>
            <w:r w:rsidR="00B0498D" w:rsidRPr="00043739">
              <w:rPr>
                <w:rFonts w:cs="AdvTTa9c1b374"/>
              </w:rPr>
              <w:t>Sismondo</w:t>
            </w:r>
            <w:proofErr w:type="spellEnd"/>
            <w:r w:rsidR="00B0498D" w:rsidRPr="00043739">
              <w:rPr>
                <w:rFonts w:cs="AdvTTa9c1b374"/>
              </w:rPr>
              <w:t>, S. (2013). Key opinion leaders and the corruption of medical knowledge: What the Sunshine Act will and won't</w:t>
            </w:r>
            <w:r w:rsidR="00B0498D">
              <w:rPr>
                <w:rFonts w:cs="AdvTTa9c1b374"/>
              </w:rPr>
              <w:t xml:space="preserve"> </w:t>
            </w:r>
            <w:r w:rsidR="00B0498D" w:rsidRPr="00043739">
              <w:rPr>
                <w:rFonts w:cs="AdvTTa9c1b374"/>
              </w:rPr>
              <w:t xml:space="preserve">cast light on. </w:t>
            </w:r>
            <w:r w:rsidR="00B0498D" w:rsidRPr="00043739">
              <w:rPr>
                <w:rFonts w:cs="AdvTTeb5f0e55.I"/>
              </w:rPr>
              <w:t>The Journal of Law, Medicine &amp; Ethics</w:t>
            </w:r>
            <w:r w:rsidR="00B0498D" w:rsidRPr="00043739">
              <w:rPr>
                <w:rFonts w:cs="AdvTTa9c1b374"/>
              </w:rPr>
              <w:t xml:space="preserve">, </w:t>
            </w:r>
            <w:r w:rsidR="00B0498D" w:rsidRPr="00043739">
              <w:rPr>
                <w:rFonts w:cs="AdvTTeb5f0e55.I"/>
              </w:rPr>
              <w:t>14</w:t>
            </w:r>
            <w:r w:rsidR="00B0498D" w:rsidRPr="00043739">
              <w:rPr>
                <w:rFonts w:cs="AdvTTa9c1b374"/>
              </w:rPr>
              <w:t>, 635</w:t>
            </w:r>
            <w:r w:rsidR="00B0498D" w:rsidRPr="00043739">
              <w:rPr>
                <w:rFonts w:eastAsia="AdvTTa9c1b374+20" w:cs="AdvTTa9c1b374+20"/>
              </w:rPr>
              <w:t>–</w:t>
            </w:r>
            <w:r w:rsidR="00B0498D" w:rsidRPr="00043739">
              <w:rPr>
                <w:rFonts w:cs="AdvTTa9c1b374"/>
              </w:rPr>
              <w:t>643.</w:t>
            </w:r>
          </w:p>
        </w:tc>
      </w:tr>
      <w:tr w:rsidR="00F567AC" w:rsidTr="00B768E0">
        <w:tc>
          <w:tcPr>
            <w:tcW w:w="1345" w:type="dxa"/>
            <w:shd w:val="clear" w:color="auto" w:fill="8DB3E2" w:themeFill="text2" w:themeFillTint="66"/>
          </w:tcPr>
          <w:p w:rsidR="00F567AC" w:rsidRDefault="00F567AC" w:rsidP="00F567AC">
            <w:r>
              <w:t>12</w:t>
            </w:r>
          </w:p>
          <w:p w:rsidR="00F567AC" w:rsidRDefault="00F567AC" w:rsidP="00F567AC">
            <w:r>
              <w:t>May 20</w:t>
            </w:r>
            <w:r w:rsidRPr="00EB04A3">
              <w:rPr>
                <w:vertAlign w:val="superscript"/>
              </w:rPr>
              <w:t>th</w:t>
            </w:r>
            <w:r>
              <w:t xml:space="preserve"> </w:t>
            </w:r>
          </w:p>
          <w:p w:rsidR="00F567AC" w:rsidRDefault="00F567AC" w:rsidP="00F567AC"/>
        </w:tc>
        <w:tc>
          <w:tcPr>
            <w:tcW w:w="2340" w:type="dxa"/>
            <w:shd w:val="clear" w:color="auto" w:fill="E5B8B7" w:themeFill="accent2" w:themeFillTint="66"/>
          </w:tcPr>
          <w:p w:rsidR="00F567AC" w:rsidRDefault="00F567AC" w:rsidP="00F567AC">
            <w:r>
              <w:t>Post-truth</w:t>
            </w:r>
          </w:p>
        </w:tc>
        <w:tc>
          <w:tcPr>
            <w:tcW w:w="5580" w:type="dxa"/>
            <w:shd w:val="clear" w:color="auto" w:fill="E5DFEC" w:themeFill="accent4" w:themeFillTint="33"/>
          </w:tcPr>
          <w:p w:rsidR="00F567AC" w:rsidRPr="00503CF2" w:rsidRDefault="00F567AC" w:rsidP="00F567AC">
            <w:pPr>
              <w:rPr>
                <w:rFonts w:cs="Times New Roman"/>
              </w:rPr>
            </w:pPr>
            <w:r>
              <w:sym w:font="Wingdings" w:char="F076"/>
            </w:r>
            <w:r>
              <w:t xml:space="preserve"> </w:t>
            </w:r>
            <w:r w:rsidRPr="00503CF2">
              <w:rPr>
                <w:rFonts w:cs="Times New Roman"/>
              </w:rPr>
              <w:t>Fuller, S.  2016a</w:t>
            </w:r>
            <w:r w:rsidR="00816D77">
              <w:rPr>
                <w:rFonts w:cs="Times New Roman"/>
              </w:rPr>
              <w:t>.</w:t>
            </w:r>
            <w:r w:rsidRPr="00503CF2">
              <w:rPr>
                <w:rFonts w:cs="Times New Roman"/>
              </w:rPr>
              <w:t xml:space="preserve"> “Science Has Always Been a Bit ‘Post-truth.”  </w:t>
            </w:r>
          </w:p>
          <w:p w:rsidR="00F567AC" w:rsidRDefault="00F567AC" w:rsidP="00F567AC">
            <w:r w:rsidRPr="00503CF2">
              <w:sym w:font="Wingdings" w:char="F076"/>
            </w:r>
            <w:r w:rsidRPr="00503CF2">
              <w:t>Fuller (2016b) Embrace the Inner Fox: Post-truth as the STS symmetry Principle</w:t>
            </w:r>
            <w:r w:rsidRPr="00503CF2">
              <w:rPr>
                <w:sz w:val="24"/>
              </w:rPr>
              <w:t xml:space="preserve"> </w:t>
            </w:r>
            <w:r>
              <w:t>Universalized.</w:t>
            </w:r>
          </w:p>
          <w:p w:rsidR="00F567AC" w:rsidRDefault="00F567AC" w:rsidP="00F567AC">
            <w:r>
              <w:sym w:font="Wingdings" w:char="F076"/>
            </w:r>
            <w:r>
              <w:t xml:space="preserve">  Lynch (2018) STS, Symmetry, and post-truth</w:t>
            </w:r>
          </w:p>
          <w:p w:rsidR="00F567AC" w:rsidRPr="00503CF2" w:rsidRDefault="00F567AC" w:rsidP="00F567AC">
            <w:r>
              <w:sym w:font="Wingdings" w:char="F076"/>
            </w:r>
            <w:r>
              <w:t xml:space="preserve">  </w:t>
            </w:r>
            <w:proofErr w:type="spellStart"/>
            <w:r>
              <w:t>Sismondo</w:t>
            </w:r>
            <w:proofErr w:type="spellEnd"/>
            <w:r>
              <w:t>, S. (2017). ‘Post-Truth?’ Social Studies of Science 47(1): 3-6.</w:t>
            </w:r>
          </w:p>
          <w:p w:rsidR="00F567AC" w:rsidRPr="002C7CFF" w:rsidRDefault="00F567AC" w:rsidP="00F567AC">
            <w:pPr>
              <w:spacing w:line="240" w:lineRule="auto"/>
              <w:rPr>
                <w:rFonts w:eastAsia="Times New Roman" w:cs="Arial"/>
              </w:rPr>
            </w:pPr>
            <w:r>
              <w:sym w:font="Wingdings" w:char="F076"/>
            </w:r>
            <w:r>
              <w:t xml:space="preserve"> </w:t>
            </w:r>
            <w:proofErr w:type="spellStart"/>
            <w:r>
              <w:t>Marres</w:t>
            </w:r>
            <w:proofErr w:type="spellEnd"/>
            <w:r>
              <w:t xml:space="preserve"> (2018) Why we can’t have our facts back </w:t>
            </w:r>
          </w:p>
        </w:tc>
      </w:tr>
      <w:tr w:rsidR="00F567AC" w:rsidTr="00B768E0">
        <w:tc>
          <w:tcPr>
            <w:tcW w:w="1345" w:type="dxa"/>
            <w:shd w:val="clear" w:color="auto" w:fill="8DB3E2" w:themeFill="text2" w:themeFillTint="66"/>
          </w:tcPr>
          <w:p w:rsidR="00F567AC" w:rsidRDefault="00F567AC" w:rsidP="00F567AC">
            <w:r>
              <w:t>13</w:t>
            </w:r>
          </w:p>
          <w:p w:rsidR="00F567AC" w:rsidRDefault="00F567AC" w:rsidP="00F567AC">
            <w:r>
              <w:t>May 27</w:t>
            </w:r>
            <w:r w:rsidRPr="00EB04A3">
              <w:rPr>
                <w:vertAlign w:val="superscript"/>
              </w:rPr>
              <w:t>th</w:t>
            </w:r>
          </w:p>
        </w:tc>
        <w:tc>
          <w:tcPr>
            <w:tcW w:w="2340" w:type="dxa"/>
            <w:shd w:val="clear" w:color="auto" w:fill="E5B8B7" w:themeFill="accent2" w:themeFillTint="66"/>
          </w:tcPr>
          <w:p w:rsidR="00F567AC" w:rsidRDefault="00F567AC" w:rsidP="00F567AC">
            <w:r>
              <w:t>F</w:t>
            </w:r>
            <w:bookmarkStart w:id="0" w:name="_GoBack"/>
            <w:bookmarkEnd w:id="0"/>
            <w:r>
              <w:t>ake News</w:t>
            </w:r>
          </w:p>
        </w:tc>
        <w:tc>
          <w:tcPr>
            <w:tcW w:w="5580" w:type="dxa"/>
            <w:shd w:val="clear" w:color="auto" w:fill="E5DFEC" w:themeFill="accent4" w:themeFillTint="33"/>
          </w:tcPr>
          <w:p w:rsidR="00F567AC" w:rsidRDefault="00F567AC" w:rsidP="00F567AC">
            <w:r>
              <w:sym w:font="Wingdings" w:char="F076"/>
            </w:r>
            <w:r>
              <w:t xml:space="preserve"> </w:t>
            </w:r>
            <w:proofErr w:type="spellStart"/>
            <w:r>
              <w:t>Gelfert</w:t>
            </w:r>
            <w:proofErr w:type="spellEnd"/>
            <w:r>
              <w:t>, A. (forthcoming)  Fake News: A definition</w:t>
            </w:r>
          </w:p>
          <w:p w:rsidR="00F567AC" w:rsidRDefault="00F567AC" w:rsidP="00F567AC">
            <w:r>
              <w:sym w:font="Wingdings" w:char="F076"/>
            </w:r>
            <w:proofErr w:type="spellStart"/>
            <w:r>
              <w:t>Mihailidis</w:t>
            </w:r>
            <w:proofErr w:type="spellEnd"/>
            <w:r>
              <w:t xml:space="preserve">, P., &amp; </w:t>
            </w:r>
            <w:proofErr w:type="spellStart"/>
            <w:r>
              <w:t>Viotty</w:t>
            </w:r>
            <w:proofErr w:type="spellEnd"/>
            <w:r>
              <w:t xml:space="preserve">, S. (2017). Spreadable spectacle in digital culture: Civic expression, fake news, and the role of media literacies in “post-fact” society. </w:t>
            </w:r>
            <w:r>
              <w:rPr>
                <w:i/>
                <w:iCs/>
              </w:rPr>
              <w:t>American Behavioral Scientist</w:t>
            </w:r>
            <w:r>
              <w:t xml:space="preserve">, </w:t>
            </w:r>
            <w:r>
              <w:rPr>
                <w:i/>
                <w:iCs/>
              </w:rPr>
              <w:t>61</w:t>
            </w:r>
            <w:r>
              <w:t>(4), 441-454.</w:t>
            </w:r>
          </w:p>
          <w:p w:rsidR="00F567AC" w:rsidRPr="009A46AC" w:rsidRDefault="00F567AC" w:rsidP="00F567AC"/>
        </w:tc>
      </w:tr>
      <w:tr w:rsidR="00F567AC" w:rsidTr="00B768E0">
        <w:tc>
          <w:tcPr>
            <w:tcW w:w="1345" w:type="dxa"/>
            <w:shd w:val="clear" w:color="auto" w:fill="8DB3E2" w:themeFill="text2" w:themeFillTint="66"/>
          </w:tcPr>
          <w:p w:rsidR="00F567AC" w:rsidRDefault="00F567AC" w:rsidP="00F567AC">
            <w:r>
              <w:t>14</w:t>
            </w:r>
          </w:p>
          <w:p w:rsidR="00F567AC" w:rsidRDefault="00F567AC" w:rsidP="00F567AC">
            <w:r>
              <w:t>June 3</w:t>
            </w:r>
            <w:r w:rsidRPr="00EB04A3">
              <w:rPr>
                <w:vertAlign w:val="superscript"/>
              </w:rPr>
              <w:t>rd</w:t>
            </w:r>
          </w:p>
        </w:tc>
        <w:tc>
          <w:tcPr>
            <w:tcW w:w="2340" w:type="dxa"/>
            <w:shd w:val="clear" w:color="auto" w:fill="E5B8B7" w:themeFill="accent2" w:themeFillTint="66"/>
          </w:tcPr>
          <w:p w:rsidR="00F567AC" w:rsidRPr="002C7CFF" w:rsidRDefault="00F567AC" w:rsidP="00F567AC">
            <w:pPr>
              <w:rPr>
                <w:b/>
                <w:sz w:val="28"/>
                <w:szCs w:val="28"/>
                <w:u w:val="single"/>
              </w:rPr>
            </w:pPr>
            <w:r>
              <w:t>Post-truth II</w:t>
            </w:r>
          </w:p>
        </w:tc>
        <w:tc>
          <w:tcPr>
            <w:tcW w:w="5580" w:type="dxa"/>
            <w:shd w:val="clear" w:color="auto" w:fill="E5DFEC" w:themeFill="accent4" w:themeFillTint="33"/>
          </w:tcPr>
          <w:p w:rsidR="00F567AC" w:rsidRDefault="00F567AC" w:rsidP="00F567AC">
            <w:r>
              <w:sym w:font="Wingdings" w:char="F076"/>
            </w:r>
            <w:r>
              <w:t xml:space="preserve">  </w:t>
            </w:r>
            <w:proofErr w:type="spellStart"/>
            <w:r>
              <w:t>Jansanoff</w:t>
            </w:r>
            <w:proofErr w:type="spellEnd"/>
            <w:r>
              <w:t xml:space="preserve"> &amp; </w:t>
            </w:r>
            <w:proofErr w:type="spellStart"/>
            <w:r>
              <w:t>Simmett</w:t>
            </w:r>
            <w:proofErr w:type="spellEnd"/>
            <w:r>
              <w:t xml:space="preserve"> (2017) No Funeral bells: Public Reason in a “post-truth” age</w:t>
            </w:r>
          </w:p>
          <w:p w:rsidR="00F567AC" w:rsidRPr="00BD3F5F" w:rsidRDefault="00F567AC" w:rsidP="00F567AC">
            <w:r>
              <w:sym w:font="Wingdings" w:char="F076"/>
            </w:r>
            <w:r>
              <w:t xml:space="preserve"> Lewandowsky, S., Ecker, U. K., &amp; Cook, J. (2017). Beyond misinformation: Understanding and coping with the “post-truth” era.</w:t>
            </w:r>
          </w:p>
        </w:tc>
      </w:tr>
      <w:tr w:rsidR="00F567AC" w:rsidTr="00B768E0">
        <w:tc>
          <w:tcPr>
            <w:tcW w:w="1345" w:type="dxa"/>
            <w:shd w:val="clear" w:color="auto" w:fill="8DB3E2" w:themeFill="text2" w:themeFillTint="66"/>
          </w:tcPr>
          <w:p w:rsidR="00F567AC" w:rsidRDefault="00F567AC" w:rsidP="00F567AC">
            <w:r>
              <w:t>Final</w:t>
            </w:r>
          </w:p>
        </w:tc>
        <w:tc>
          <w:tcPr>
            <w:tcW w:w="2340" w:type="dxa"/>
            <w:shd w:val="clear" w:color="auto" w:fill="E5B8B7" w:themeFill="accent2" w:themeFillTint="66"/>
          </w:tcPr>
          <w:p w:rsidR="00F567AC" w:rsidRPr="00986413" w:rsidRDefault="00986413" w:rsidP="00F567AC">
            <w:pPr>
              <w:rPr>
                <w:b/>
                <w:sz w:val="28"/>
                <w:szCs w:val="28"/>
                <w:u w:val="single"/>
              </w:rPr>
            </w:pPr>
            <w:r w:rsidRPr="00986413">
              <w:rPr>
                <w:b/>
                <w:sz w:val="28"/>
                <w:szCs w:val="28"/>
                <w:u w:val="single"/>
              </w:rPr>
              <w:t>Paper 3 due Sat</w:t>
            </w:r>
            <w:r>
              <w:rPr>
                <w:b/>
                <w:sz w:val="28"/>
                <w:szCs w:val="28"/>
                <w:u w:val="single"/>
              </w:rPr>
              <w:t>u</w:t>
            </w:r>
            <w:r w:rsidR="00B0498D">
              <w:rPr>
                <w:b/>
                <w:sz w:val="28"/>
                <w:szCs w:val="28"/>
                <w:u w:val="single"/>
              </w:rPr>
              <w:t>r</w:t>
            </w:r>
            <w:r>
              <w:rPr>
                <w:b/>
                <w:sz w:val="28"/>
                <w:szCs w:val="28"/>
                <w:u w:val="single"/>
              </w:rPr>
              <w:t>day,</w:t>
            </w:r>
            <w:r w:rsidRPr="00986413">
              <w:rPr>
                <w:b/>
                <w:sz w:val="28"/>
                <w:szCs w:val="28"/>
                <w:u w:val="single"/>
              </w:rPr>
              <w:t xml:space="preserve"> June 15th</w:t>
            </w:r>
          </w:p>
        </w:tc>
        <w:tc>
          <w:tcPr>
            <w:tcW w:w="5580" w:type="dxa"/>
            <w:shd w:val="clear" w:color="auto" w:fill="E5DFEC" w:themeFill="accent4" w:themeFillTint="33"/>
          </w:tcPr>
          <w:p w:rsidR="00F567AC" w:rsidRPr="00986413" w:rsidRDefault="00F567AC" w:rsidP="00F567AC">
            <w:pPr>
              <w:rPr>
                <w:b/>
              </w:rPr>
            </w:pPr>
          </w:p>
        </w:tc>
      </w:tr>
      <w:tr w:rsidR="00F567AC" w:rsidTr="00B768E0">
        <w:tc>
          <w:tcPr>
            <w:tcW w:w="1345" w:type="dxa"/>
            <w:shd w:val="clear" w:color="auto" w:fill="8DB3E2" w:themeFill="text2" w:themeFillTint="66"/>
          </w:tcPr>
          <w:p w:rsidR="00F567AC" w:rsidRDefault="00F567AC" w:rsidP="00F567AC"/>
        </w:tc>
        <w:tc>
          <w:tcPr>
            <w:tcW w:w="2340" w:type="dxa"/>
            <w:shd w:val="clear" w:color="auto" w:fill="E5B8B7" w:themeFill="accent2" w:themeFillTint="66"/>
          </w:tcPr>
          <w:p w:rsidR="00F567AC" w:rsidRDefault="00F567AC" w:rsidP="00F567AC"/>
        </w:tc>
        <w:tc>
          <w:tcPr>
            <w:tcW w:w="5580" w:type="dxa"/>
            <w:shd w:val="clear" w:color="auto" w:fill="E5DFEC" w:themeFill="accent4" w:themeFillTint="33"/>
          </w:tcPr>
          <w:p w:rsidR="00F567AC" w:rsidRDefault="00F567AC" w:rsidP="00F567AC">
            <w:pPr>
              <w:pStyle w:val="Heading1"/>
            </w:pPr>
          </w:p>
        </w:tc>
      </w:tr>
    </w:tbl>
    <w:p w:rsidR="003C0F0A" w:rsidRDefault="003C0F0A" w:rsidP="00DB579D">
      <w:pPr>
        <w:rPr>
          <w:sz w:val="24"/>
          <w:szCs w:val="24"/>
        </w:rPr>
      </w:pPr>
    </w:p>
    <w:p w:rsidR="003C0F0A" w:rsidRDefault="003C0F0A">
      <w:pPr>
        <w:rPr>
          <w:sz w:val="24"/>
          <w:szCs w:val="24"/>
        </w:rPr>
      </w:pPr>
      <w:r>
        <w:rPr>
          <w:sz w:val="24"/>
          <w:szCs w:val="24"/>
        </w:rPr>
        <w:br w:type="page"/>
      </w:r>
    </w:p>
    <w:p w:rsidR="00DB579D" w:rsidRPr="00E254E8" w:rsidRDefault="00DB4F9C" w:rsidP="00DB579D">
      <w:pPr>
        <w:rPr>
          <w:sz w:val="24"/>
          <w:szCs w:val="24"/>
        </w:rPr>
      </w:pPr>
      <w:r>
        <w:rPr>
          <w:sz w:val="24"/>
          <w:szCs w:val="24"/>
        </w:rPr>
        <w:t>Re</w:t>
      </w:r>
      <w:r w:rsidR="00DB579D" w:rsidRPr="009A46AC">
        <w:rPr>
          <w:sz w:val="24"/>
          <w:szCs w:val="24"/>
        </w:rPr>
        <w:t>quirements:</w:t>
      </w:r>
    </w:p>
    <w:p w:rsidR="00E254E8" w:rsidRPr="00E254E8" w:rsidRDefault="00E254E8" w:rsidP="00E254E8">
      <w:pPr>
        <w:autoSpaceDE w:val="0"/>
        <w:autoSpaceDN w:val="0"/>
        <w:adjustRightInd w:val="0"/>
        <w:rPr>
          <w:rFonts w:eastAsia="TT1C1t00" w:cs="Times New Roman"/>
          <w:sz w:val="24"/>
          <w:szCs w:val="24"/>
        </w:rPr>
      </w:pPr>
      <w:r w:rsidRPr="00E254E8">
        <w:rPr>
          <w:b/>
          <w:sz w:val="24"/>
          <w:szCs w:val="24"/>
        </w:rPr>
        <w:t>Attendance &amp; Grading:</w:t>
      </w:r>
      <w:r w:rsidRPr="00E254E8">
        <w:rPr>
          <w:sz w:val="24"/>
          <w:szCs w:val="24"/>
        </w:rPr>
        <w:t xml:space="preserve">  </w:t>
      </w:r>
      <w:r w:rsidRPr="00E254E8">
        <w:rPr>
          <w:rFonts w:eastAsia="TT1C1t00" w:cs="Times New Roman"/>
          <w:sz w:val="24"/>
          <w:szCs w:val="24"/>
        </w:rPr>
        <w:t xml:space="preserve">Attendance will be taken in accordance with </w:t>
      </w:r>
      <w:proofErr w:type="spellStart"/>
      <w:r w:rsidRPr="00E254E8">
        <w:rPr>
          <w:rFonts w:eastAsia="TT1C1t00" w:cs="Times New Roman"/>
          <w:sz w:val="24"/>
          <w:szCs w:val="24"/>
        </w:rPr>
        <w:t>Yonsei</w:t>
      </w:r>
      <w:proofErr w:type="spellEnd"/>
      <w:r w:rsidRPr="00E254E8">
        <w:rPr>
          <w:rFonts w:eastAsia="TT1C1t00" w:cs="Times New Roman"/>
          <w:sz w:val="24"/>
          <w:szCs w:val="24"/>
        </w:rPr>
        <w:t xml:space="preserve"> Policy: missing 1/3 of all classes, regardless of having legitimate, official excuses, is to result in an F grade. Being more than twenty minutes late will be counted as an absence. You will be allowed six absences (excused/unexcused). Long days count as two classes. (Hence, you`re allowed two weeks of absences).</w:t>
      </w:r>
    </w:p>
    <w:p w:rsidR="00E254E8" w:rsidRDefault="00E254E8" w:rsidP="00E254E8">
      <w:pPr>
        <w:autoSpaceDE w:val="0"/>
        <w:autoSpaceDN w:val="0"/>
        <w:adjustRightInd w:val="0"/>
        <w:rPr>
          <w:sz w:val="24"/>
          <w:szCs w:val="24"/>
        </w:rPr>
      </w:pPr>
    </w:p>
    <w:p w:rsidR="00E254E8" w:rsidRPr="00E254E8" w:rsidRDefault="00E254E8" w:rsidP="00E254E8">
      <w:pPr>
        <w:autoSpaceDE w:val="0"/>
        <w:autoSpaceDN w:val="0"/>
        <w:adjustRightInd w:val="0"/>
        <w:rPr>
          <w:rFonts w:eastAsia="TT1C1t00" w:cs="Times New Roman"/>
          <w:sz w:val="24"/>
          <w:szCs w:val="24"/>
        </w:rPr>
      </w:pPr>
      <w:r w:rsidRPr="00E254E8">
        <w:rPr>
          <w:sz w:val="24"/>
          <w:szCs w:val="24"/>
        </w:rPr>
        <w:t xml:space="preserve">There are 100 available points.  </w:t>
      </w:r>
    </w:p>
    <w:p w:rsidR="00E254E8" w:rsidRDefault="00E254E8" w:rsidP="00DB579D">
      <w:pPr>
        <w:rPr>
          <w:b/>
          <w:sz w:val="24"/>
          <w:szCs w:val="24"/>
        </w:rPr>
      </w:pPr>
    </w:p>
    <w:p w:rsidR="00DB579D" w:rsidRPr="009A46AC" w:rsidRDefault="00DB579D" w:rsidP="00DB579D">
      <w:pPr>
        <w:rPr>
          <w:sz w:val="24"/>
          <w:szCs w:val="24"/>
        </w:rPr>
      </w:pPr>
      <w:r w:rsidRPr="00E2047F">
        <w:rPr>
          <w:b/>
          <w:sz w:val="24"/>
          <w:szCs w:val="24"/>
        </w:rPr>
        <w:t>1.</w:t>
      </w:r>
      <w:r w:rsidRPr="009A46AC">
        <w:rPr>
          <w:sz w:val="24"/>
          <w:szCs w:val="24"/>
        </w:rPr>
        <w:t xml:space="preserve">  </w:t>
      </w:r>
      <w:r w:rsidRPr="00E2047F">
        <w:rPr>
          <w:b/>
          <w:sz w:val="24"/>
          <w:szCs w:val="24"/>
        </w:rPr>
        <w:t>Active and informed participation</w:t>
      </w:r>
      <w:r w:rsidR="007E5F5B">
        <w:rPr>
          <w:b/>
          <w:sz w:val="24"/>
          <w:szCs w:val="24"/>
        </w:rPr>
        <w:t xml:space="preserve"> (2</w:t>
      </w:r>
      <w:r w:rsidR="000E3F46">
        <w:rPr>
          <w:b/>
          <w:sz w:val="24"/>
          <w:szCs w:val="24"/>
        </w:rPr>
        <w:t>5</w:t>
      </w:r>
      <w:r w:rsidR="002C6C59">
        <w:rPr>
          <w:b/>
          <w:sz w:val="24"/>
          <w:szCs w:val="24"/>
        </w:rPr>
        <w:t>%)</w:t>
      </w:r>
      <w:r w:rsidRPr="009A46AC">
        <w:rPr>
          <w:sz w:val="24"/>
          <w:szCs w:val="24"/>
        </w:rPr>
        <w:t xml:space="preserve">: Students are expected to come to class prepared and ready to engage in an informed discussion of the material.  Students are expected to actively participate in classroom discussions. Participation includes asking questions, raising objections, offering defenses, commenting on the significance of a point, clarifying an argument or a claim, and drawing out the connections between an issue from our current discussion and issues raised in our other readings.  </w:t>
      </w:r>
    </w:p>
    <w:p w:rsidR="00DB579D" w:rsidRPr="009A46AC" w:rsidRDefault="00DB579D" w:rsidP="00DB579D">
      <w:pPr>
        <w:rPr>
          <w:sz w:val="24"/>
          <w:szCs w:val="24"/>
        </w:rPr>
      </w:pPr>
    </w:p>
    <w:p w:rsidR="00DB579D" w:rsidRPr="009A46AC" w:rsidRDefault="007E5F5B" w:rsidP="00DB579D">
      <w:pPr>
        <w:rPr>
          <w:sz w:val="24"/>
          <w:szCs w:val="24"/>
        </w:rPr>
      </w:pPr>
      <w:r>
        <w:rPr>
          <w:b/>
          <w:sz w:val="24"/>
          <w:szCs w:val="24"/>
        </w:rPr>
        <w:t>2.  Topic papers (75</w:t>
      </w:r>
      <w:r w:rsidR="00DB579D" w:rsidRPr="00E2047F">
        <w:rPr>
          <w:b/>
          <w:sz w:val="24"/>
          <w:szCs w:val="24"/>
        </w:rPr>
        <w:t>%)</w:t>
      </w:r>
      <w:r w:rsidR="00E2047F">
        <w:rPr>
          <w:b/>
          <w:sz w:val="24"/>
          <w:szCs w:val="24"/>
        </w:rPr>
        <w:t>:</w:t>
      </w:r>
      <w:r w:rsidR="00DB579D" w:rsidRPr="009A46AC">
        <w:rPr>
          <w:sz w:val="24"/>
          <w:szCs w:val="24"/>
        </w:rPr>
        <w:t xml:space="preserve"> Over the course of</w:t>
      </w:r>
      <w:r w:rsidR="002C6C59">
        <w:rPr>
          <w:sz w:val="24"/>
          <w:szCs w:val="24"/>
        </w:rPr>
        <w:t xml:space="preserve"> the class students will write 3</w:t>
      </w:r>
      <w:r w:rsidR="000E3F46">
        <w:rPr>
          <w:sz w:val="24"/>
          <w:szCs w:val="24"/>
        </w:rPr>
        <w:t xml:space="preserve"> papers (950-1450 words—</w:t>
      </w:r>
      <w:r w:rsidR="00DB579D" w:rsidRPr="009A46AC">
        <w:rPr>
          <w:sz w:val="24"/>
          <w:szCs w:val="24"/>
        </w:rPr>
        <w:t xml:space="preserve">roughly 3-4 pages), papers will lose 5 points for every 100 </w:t>
      </w:r>
      <w:proofErr w:type="gramStart"/>
      <w:r w:rsidR="00DB579D" w:rsidRPr="009A46AC">
        <w:rPr>
          <w:sz w:val="24"/>
          <w:szCs w:val="24"/>
        </w:rPr>
        <w:t>words  (</w:t>
      </w:r>
      <w:proofErr w:type="gramEnd"/>
      <w:r w:rsidR="00DB579D" w:rsidRPr="009A46AC">
        <w:rPr>
          <w:sz w:val="24"/>
          <w:szCs w:val="24"/>
        </w:rPr>
        <w:t xml:space="preserve">or any portion thereof) </w:t>
      </w:r>
      <w:r w:rsidR="00816D77">
        <w:rPr>
          <w:sz w:val="24"/>
          <w:szCs w:val="24"/>
        </w:rPr>
        <w:t>over the limit.  If you are under the limit, please take this as sign you have not given due consideration to the course material.</w:t>
      </w:r>
      <w:r w:rsidR="00DB579D" w:rsidRPr="009A46AC">
        <w:rPr>
          <w:sz w:val="24"/>
          <w:szCs w:val="24"/>
        </w:rPr>
        <w:t xml:space="preserve">  The papers will be spread out over the class.  The prompt</w:t>
      </w:r>
      <w:r w:rsidR="000E3F46">
        <w:rPr>
          <w:sz w:val="24"/>
          <w:szCs w:val="24"/>
        </w:rPr>
        <w:t>s are</w:t>
      </w:r>
      <w:r w:rsidR="00DB579D" w:rsidRPr="009A46AC">
        <w:rPr>
          <w:sz w:val="24"/>
          <w:szCs w:val="24"/>
        </w:rPr>
        <w:t xml:space="preserve"> focused on clarifying the topic and understanding the arguments covered in the reading.  Students should make reference to (</w:t>
      </w:r>
      <w:r w:rsidR="00DB579D" w:rsidRPr="009A46AC">
        <w:rPr>
          <w:b/>
          <w:sz w:val="24"/>
          <w:szCs w:val="24"/>
        </w:rPr>
        <w:t>and cite!</w:t>
      </w:r>
      <w:r w:rsidR="00DB579D" w:rsidRPr="009A46AC">
        <w:rPr>
          <w:sz w:val="24"/>
          <w:szCs w:val="24"/>
        </w:rPr>
        <w:t xml:space="preserve">) the material, but should express the ideas in their own words (i.e. no long block quotes).  Citations should be MLA style.  The purpose of these papers is to learn to digest and understand philosophic arguments (i.e. these are not research papers).  Accordingly, students </w:t>
      </w:r>
      <w:r w:rsidR="00DB579D" w:rsidRPr="009A46AC">
        <w:rPr>
          <w:b/>
          <w:sz w:val="24"/>
          <w:szCs w:val="24"/>
        </w:rPr>
        <w:t>should not</w:t>
      </w:r>
      <w:r w:rsidR="00DB579D" w:rsidRPr="009A46AC">
        <w:rPr>
          <w:sz w:val="24"/>
          <w:szCs w:val="24"/>
        </w:rPr>
        <w:t xml:space="preserve"> use outside resources to answer questions.  Evidence of outside research will be considered cause to reduce a grade, or in extreme cases lose all credit.  Students may confer with each other, but all writing should be done independently.  Significant overlap in student papers is academic dishonesty</w:t>
      </w:r>
      <w:r w:rsidR="000E3F46">
        <w:rPr>
          <w:sz w:val="24"/>
          <w:szCs w:val="24"/>
        </w:rPr>
        <w:t xml:space="preserve"> (see below)</w:t>
      </w:r>
      <w:r w:rsidR="00DB579D" w:rsidRPr="009A46AC">
        <w:rPr>
          <w:sz w:val="24"/>
          <w:szCs w:val="24"/>
        </w:rPr>
        <w:t xml:space="preserve">.  </w:t>
      </w:r>
    </w:p>
    <w:p w:rsidR="00DB579D" w:rsidRPr="009A46AC" w:rsidRDefault="00DB579D" w:rsidP="00DB579D">
      <w:pPr>
        <w:rPr>
          <w:b/>
          <w:sz w:val="24"/>
          <w:szCs w:val="24"/>
        </w:rPr>
      </w:pPr>
    </w:p>
    <w:p w:rsidR="00E254E8" w:rsidRDefault="00E254E8" w:rsidP="00DB579D">
      <w:pPr>
        <w:rPr>
          <w:rStyle w:val="st"/>
          <w:sz w:val="24"/>
          <w:szCs w:val="24"/>
        </w:rPr>
      </w:pPr>
    </w:p>
    <w:p w:rsidR="00E254E8" w:rsidRPr="00E254E8" w:rsidRDefault="00E254E8" w:rsidP="00E254E8">
      <w:pPr>
        <w:rPr>
          <w:rFonts w:cs="Times New Roman"/>
          <w:sz w:val="24"/>
          <w:szCs w:val="24"/>
        </w:rPr>
      </w:pPr>
      <w:r w:rsidRPr="00E254E8">
        <w:rPr>
          <w:rStyle w:val="st"/>
          <w:b/>
          <w:sz w:val="24"/>
          <w:szCs w:val="24"/>
        </w:rPr>
        <w:t>4.</w:t>
      </w:r>
      <w:r w:rsidRPr="00E254E8">
        <w:rPr>
          <w:rStyle w:val="st"/>
          <w:sz w:val="24"/>
          <w:szCs w:val="24"/>
        </w:rPr>
        <w:t xml:space="preserve">  </w:t>
      </w:r>
      <w:r w:rsidRPr="00E254E8">
        <w:rPr>
          <w:rFonts w:cs="Times New Roman"/>
          <w:b/>
          <w:sz w:val="24"/>
          <w:szCs w:val="24"/>
        </w:rPr>
        <w:t xml:space="preserve">Extensions:  </w:t>
      </w:r>
      <w:r w:rsidR="0011351E">
        <w:rPr>
          <w:rFonts w:cs="Times New Roman"/>
          <w:sz w:val="24"/>
          <w:szCs w:val="24"/>
        </w:rPr>
        <w:t xml:space="preserve">The due dates for each assignment are posted on the syllabus above.  </w:t>
      </w:r>
      <w:r w:rsidRPr="00E254E8">
        <w:rPr>
          <w:rFonts w:cs="Times New Roman"/>
          <w:sz w:val="24"/>
          <w:szCs w:val="24"/>
        </w:rPr>
        <w:t xml:space="preserve">Students will have a ten minute grace period after which point the assignment will be considered late.  Generally, no changes will be made to the dates listed.  Exceptions will be handled on a case by case basis and will not, in any circumstances, be altered without supporting documentation. The penalty for turning in an assignment late will be </w:t>
      </w:r>
      <w:r w:rsidR="0011351E">
        <w:rPr>
          <w:rFonts w:cs="Times New Roman"/>
          <w:sz w:val="24"/>
          <w:szCs w:val="24"/>
        </w:rPr>
        <w:t xml:space="preserve">1/3 grade </w:t>
      </w:r>
      <w:r w:rsidRPr="00E254E8">
        <w:rPr>
          <w:rFonts w:cs="Times New Roman"/>
          <w:sz w:val="24"/>
          <w:szCs w:val="24"/>
        </w:rPr>
        <w:t xml:space="preserve">deduction per day (or any portion thereof).  It is </w:t>
      </w:r>
      <w:r w:rsidR="0011351E">
        <w:rPr>
          <w:rFonts w:cs="Times New Roman"/>
          <w:sz w:val="24"/>
          <w:szCs w:val="24"/>
        </w:rPr>
        <w:t xml:space="preserve">the student’s responsibility to </w:t>
      </w:r>
      <w:r w:rsidRPr="00E254E8">
        <w:rPr>
          <w:rFonts w:cs="Times New Roman"/>
          <w:sz w:val="24"/>
          <w:szCs w:val="24"/>
        </w:rPr>
        <w:t>ensure that the paper they submit is the correct paper.  If the wrong paper is uploaded to the drop box it will be treated as if no paper had been turned in and late penalties will accrue accordingly.</w:t>
      </w:r>
    </w:p>
    <w:p w:rsidR="00E254E8" w:rsidRPr="009A46AC" w:rsidRDefault="00E254E8" w:rsidP="00DB579D">
      <w:pPr>
        <w:rPr>
          <w:rStyle w:val="st"/>
          <w:sz w:val="24"/>
          <w:szCs w:val="24"/>
        </w:rPr>
      </w:pPr>
    </w:p>
    <w:p w:rsidR="00DB579D" w:rsidRPr="009A46AC" w:rsidRDefault="00E254E8" w:rsidP="00DB579D">
      <w:pPr>
        <w:rPr>
          <w:sz w:val="24"/>
          <w:szCs w:val="24"/>
        </w:rPr>
      </w:pPr>
      <w:r>
        <w:rPr>
          <w:b/>
          <w:sz w:val="24"/>
          <w:szCs w:val="24"/>
        </w:rPr>
        <w:t>5</w:t>
      </w:r>
      <w:r w:rsidR="00E2047F">
        <w:rPr>
          <w:b/>
          <w:sz w:val="24"/>
          <w:szCs w:val="24"/>
        </w:rPr>
        <w:t xml:space="preserve">.  </w:t>
      </w:r>
      <w:r w:rsidR="00DB579D" w:rsidRPr="00E2047F">
        <w:rPr>
          <w:b/>
          <w:sz w:val="24"/>
          <w:szCs w:val="24"/>
        </w:rPr>
        <w:t>Academic Integrity:</w:t>
      </w:r>
      <w:r w:rsidR="00DB579D" w:rsidRPr="009A46AC">
        <w:rPr>
          <w:sz w:val="24"/>
          <w:szCs w:val="24"/>
        </w:rPr>
        <w:t xml:space="preserve"> Plagiarism, cheating, etc. will not be tolerated and the University policy on Academic Honesty will be followed strictly. Students who have any questions or uncertainty whatsoever about this policy are responsible for meeting individually with the instructor to discuss the policy. Anyone found violati</w:t>
      </w:r>
      <w:r w:rsidR="0011351E">
        <w:rPr>
          <w:sz w:val="24"/>
          <w:szCs w:val="24"/>
        </w:rPr>
        <w:t xml:space="preserve">ng this policy will receive </w:t>
      </w:r>
      <w:proofErr w:type="gramStart"/>
      <w:r w:rsidR="0011351E">
        <w:rPr>
          <w:sz w:val="24"/>
          <w:szCs w:val="24"/>
        </w:rPr>
        <w:t>an</w:t>
      </w:r>
      <w:proofErr w:type="gramEnd"/>
      <w:r w:rsidR="0011351E">
        <w:rPr>
          <w:sz w:val="24"/>
          <w:szCs w:val="24"/>
        </w:rPr>
        <w:t xml:space="preserve"> D</w:t>
      </w:r>
      <w:r w:rsidR="00DB579D" w:rsidRPr="009A46AC">
        <w:rPr>
          <w:sz w:val="24"/>
          <w:szCs w:val="24"/>
        </w:rPr>
        <w:t xml:space="preserve"> for the course and will be reported to the appropriate University officials. I am extremely firm on this matter. </w:t>
      </w:r>
    </w:p>
    <w:p w:rsidR="00DB579D" w:rsidRPr="009A46AC" w:rsidRDefault="00DB579D" w:rsidP="00DB579D">
      <w:pPr>
        <w:rPr>
          <w:sz w:val="24"/>
          <w:szCs w:val="24"/>
        </w:rPr>
      </w:pPr>
      <w:r w:rsidRPr="009A46AC">
        <w:rPr>
          <w:sz w:val="24"/>
          <w:szCs w:val="24"/>
        </w:rPr>
        <w:t xml:space="preserve"> </w:t>
      </w:r>
    </w:p>
    <w:p w:rsidR="00DB579D" w:rsidRDefault="00E254E8" w:rsidP="00DB579D">
      <w:pPr>
        <w:rPr>
          <w:sz w:val="24"/>
          <w:szCs w:val="24"/>
        </w:rPr>
      </w:pPr>
      <w:r>
        <w:rPr>
          <w:b/>
          <w:sz w:val="24"/>
          <w:szCs w:val="24"/>
        </w:rPr>
        <w:t>6</w:t>
      </w:r>
      <w:r w:rsidR="00E2047F">
        <w:rPr>
          <w:b/>
          <w:sz w:val="24"/>
          <w:szCs w:val="24"/>
        </w:rPr>
        <w:t xml:space="preserve">.  </w:t>
      </w:r>
      <w:r w:rsidR="00DB579D" w:rsidRPr="00E2047F">
        <w:rPr>
          <w:b/>
          <w:sz w:val="24"/>
          <w:szCs w:val="24"/>
        </w:rPr>
        <w:t>Disabilities</w:t>
      </w:r>
      <w:r w:rsidR="00DB579D" w:rsidRPr="009A46AC">
        <w:rPr>
          <w:sz w:val="24"/>
          <w:szCs w:val="24"/>
        </w:rPr>
        <w:t xml:space="preserve">: It is the student's responsibility to notify the instructor in advance of the need for accommodation of a University verified disability. I will gladly provide the required accommodations. </w:t>
      </w:r>
    </w:p>
    <w:p w:rsidR="006520A0" w:rsidRPr="009A46AC" w:rsidRDefault="006520A0" w:rsidP="00DB579D">
      <w:pPr>
        <w:rPr>
          <w:sz w:val="24"/>
          <w:szCs w:val="24"/>
        </w:rPr>
      </w:pPr>
    </w:p>
    <w:p w:rsidR="00E6317E" w:rsidRDefault="00E254E8" w:rsidP="00DB579D">
      <w:pPr>
        <w:rPr>
          <w:sz w:val="24"/>
          <w:szCs w:val="24"/>
        </w:rPr>
      </w:pPr>
      <w:r>
        <w:rPr>
          <w:b/>
          <w:sz w:val="24"/>
          <w:szCs w:val="24"/>
        </w:rPr>
        <w:t>7</w:t>
      </w:r>
      <w:r w:rsidR="00E2047F" w:rsidRPr="00E2047F">
        <w:rPr>
          <w:b/>
          <w:sz w:val="24"/>
          <w:szCs w:val="24"/>
        </w:rPr>
        <w:t xml:space="preserve">.  </w:t>
      </w:r>
      <w:r w:rsidR="00DB579D" w:rsidRPr="00E2047F">
        <w:rPr>
          <w:b/>
          <w:sz w:val="24"/>
          <w:szCs w:val="24"/>
        </w:rPr>
        <w:t>Preferred names and gender pronouns:</w:t>
      </w:r>
      <w:r w:rsidR="00DB579D" w:rsidRPr="009A46AC">
        <w:rPr>
          <w:sz w:val="24"/>
          <w:szCs w:val="24"/>
        </w:rPr>
        <w:t xml:space="preserve">  I would like to make every effort to create a safe space.  If you have a preferred name or gender pronoun that is not reflected in the roster, please let me know.</w:t>
      </w:r>
    </w:p>
    <w:p w:rsidR="00E254E8" w:rsidRPr="009A46AC" w:rsidRDefault="00E254E8" w:rsidP="00DB579D">
      <w:pPr>
        <w:rPr>
          <w:sz w:val="24"/>
          <w:szCs w:val="24"/>
        </w:rPr>
      </w:pPr>
    </w:p>
    <w:sectPr w:rsidR="00E254E8" w:rsidRPr="009A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a9c1b374">
    <w:panose1 w:val="00000000000000000000"/>
    <w:charset w:val="00"/>
    <w:family w:val="swiss"/>
    <w:notTrueType/>
    <w:pitch w:val="default"/>
    <w:sig w:usb0="00000003" w:usb1="00000000" w:usb2="00000000" w:usb3="00000000" w:csb0="00000001" w:csb1="00000000"/>
  </w:font>
  <w:font w:name="AdvTTa9c1b374+20">
    <w:altName w:val="MS Mincho"/>
    <w:panose1 w:val="00000000000000000000"/>
    <w:charset w:val="80"/>
    <w:family w:val="auto"/>
    <w:notTrueType/>
    <w:pitch w:val="default"/>
    <w:sig w:usb0="00000001" w:usb1="08070000" w:usb2="00000010" w:usb3="00000000" w:csb0="00020000" w:csb1="00000000"/>
  </w:font>
  <w:font w:name="AdvTTeb5f0e55.I">
    <w:panose1 w:val="00000000000000000000"/>
    <w:charset w:val="00"/>
    <w:family w:val="swiss"/>
    <w:notTrueType/>
    <w:pitch w:val="default"/>
    <w:sig w:usb0="00000003" w:usb1="00000000" w:usb2="00000000" w:usb3="00000000" w:csb0="00000001" w:csb1="00000000"/>
  </w:font>
  <w:font w:name="TT1C1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3C47"/>
    <w:multiLevelType w:val="hybridMultilevel"/>
    <w:tmpl w:val="82881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9D"/>
    <w:rsid w:val="00043739"/>
    <w:rsid w:val="00083FF7"/>
    <w:rsid w:val="00096B2F"/>
    <w:rsid w:val="000A5F8A"/>
    <w:rsid w:val="000C2746"/>
    <w:rsid w:val="000E3F46"/>
    <w:rsid w:val="0011351E"/>
    <w:rsid w:val="00190C89"/>
    <w:rsid w:val="001F66B1"/>
    <w:rsid w:val="00231FC5"/>
    <w:rsid w:val="00263BE2"/>
    <w:rsid w:val="002C448D"/>
    <w:rsid w:val="002C666C"/>
    <w:rsid w:val="002C6C59"/>
    <w:rsid w:val="002C7CFF"/>
    <w:rsid w:val="002F7D66"/>
    <w:rsid w:val="003525DE"/>
    <w:rsid w:val="00374E4E"/>
    <w:rsid w:val="003C0F0A"/>
    <w:rsid w:val="004628B7"/>
    <w:rsid w:val="00503CF2"/>
    <w:rsid w:val="00515B86"/>
    <w:rsid w:val="005B0F15"/>
    <w:rsid w:val="00602CAE"/>
    <w:rsid w:val="00606676"/>
    <w:rsid w:val="006401C2"/>
    <w:rsid w:val="006520A0"/>
    <w:rsid w:val="00652C6B"/>
    <w:rsid w:val="00684A10"/>
    <w:rsid w:val="00686D3E"/>
    <w:rsid w:val="006A1EDF"/>
    <w:rsid w:val="006A4CB3"/>
    <w:rsid w:val="006B6C52"/>
    <w:rsid w:val="0070764C"/>
    <w:rsid w:val="0076034A"/>
    <w:rsid w:val="007674EB"/>
    <w:rsid w:val="007B2E43"/>
    <w:rsid w:val="007C57BA"/>
    <w:rsid w:val="007E5F5B"/>
    <w:rsid w:val="00812153"/>
    <w:rsid w:val="00816D77"/>
    <w:rsid w:val="00822D23"/>
    <w:rsid w:val="00863E15"/>
    <w:rsid w:val="00896CF5"/>
    <w:rsid w:val="008C564F"/>
    <w:rsid w:val="00923292"/>
    <w:rsid w:val="0092795B"/>
    <w:rsid w:val="00955864"/>
    <w:rsid w:val="009734CB"/>
    <w:rsid w:val="00986413"/>
    <w:rsid w:val="009A46AC"/>
    <w:rsid w:val="00A76A51"/>
    <w:rsid w:val="00AD318A"/>
    <w:rsid w:val="00B0498D"/>
    <w:rsid w:val="00B4162C"/>
    <w:rsid w:val="00B768E0"/>
    <w:rsid w:val="00BE148D"/>
    <w:rsid w:val="00BF388B"/>
    <w:rsid w:val="00C01C09"/>
    <w:rsid w:val="00C21181"/>
    <w:rsid w:val="00C60ABE"/>
    <w:rsid w:val="00CF1FC8"/>
    <w:rsid w:val="00D71EC3"/>
    <w:rsid w:val="00D930CC"/>
    <w:rsid w:val="00D943D9"/>
    <w:rsid w:val="00DB4F9C"/>
    <w:rsid w:val="00DB579D"/>
    <w:rsid w:val="00DC6F58"/>
    <w:rsid w:val="00E0459B"/>
    <w:rsid w:val="00E2047F"/>
    <w:rsid w:val="00E254E8"/>
    <w:rsid w:val="00E6317E"/>
    <w:rsid w:val="00E92ECD"/>
    <w:rsid w:val="00EB04A3"/>
    <w:rsid w:val="00EF6D33"/>
    <w:rsid w:val="00F567AC"/>
    <w:rsid w:val="00F83C29"/>
    <w:rsid w:val="00F91600"/>
    <w:rsid w:val="00FD52A8"/>
    <w:rsid w:val="00F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5831-37E0-4F40-8150-2F151714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9D"/>
  </w:style>
  <w:style w:type="paragraph" w:styleId="Heading1">
    <w:name w:val="heading 1"/>
    <w:basedOn w:val="Normal"/>
    <w:next w:val="Normal"/>
    <w:link w:val="Heading1Char"/>
    <w:uiPriority w:val="9"/>
    <w:qFormat/>
    <w:rsid w:val="006401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0A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B579D"/>
    <w:rPr>
      <w:i/>
      <w:iCs/>
    </w:rPr>
  </w:style>
  <w:style w:type="character" w:customStyle="1" w:styleId="st">
    <w:name w:val="st"/>
    <w:basedOn w:val="DefaultParagraphFont"/>
    <w:rsid w:val="00DB579D"/>
  </w:style>
  <w:style w:type="character" w:customStyle="1" w:styleId="Heading2Char">
    <w:name w:val="Heading 2 Char"/>
    <w:basedOn w:val="DefaultParagraphFont"/>
    <w:link w:val="Heading2"/>
    <w:uiPriority w:val="9"/>
    <w:rsid w:val="00C60ABE"/>
    <w:rPr>
      <w:rFonts w:ascii="Times New Roman" w:eastAsia="Times New Roman" w:hAnsi="Times New Roman" w:cs="Times New Roman"/>
      <w:b/>
      <w:bCs/>
      <w:sz w:val="36"/>
      <w:szCs w:val="36"/>
    </w:rPr>
  </w:style>
  <w:style w:type="paragraph" w:styleId="ListParagraph">
    <w:name w:val="List Paragraph"/>
    <w:basedOn w:val="Normal"/>
    <w:uiPriority w:val="34"/>
    <w:qFormat/>
    <w:rsid w:val="00231FC5"/>
    <w:pPr>
      <w:ind w:left="720"/>
      <w:contextualSpacing/>
    </w:pPr>
  </w:style>
  <w:style w:type="paragraph" w:styleId="BalloonText">
    <w:name w:val="Balloon Text"/>
    <w:basedOn w:val="Normal"/>
    <w:link w:val="BalloonTextChar"/>
    <w:uiPriority w:val="99"/>
    <w:semiHidden/>
    <w:unhideWhenUsed/>
    <w:rsid w:val="006520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A0"/>
    <w:rPr>
      <w:rFonts w:ascii="Tahoma" w:hAnsi="Tahoma" w:cs="Tahoma"/>
      <w:sz w:val="16"/>
      <w:szCs w:val="16"/>
    </w:rPr>
  </w:style>
  <w:style w:type="character" w:customStyle="1" w:styleId="Heading1Char">
    <w:name w:val="Heading 1 Char"/>
    <w:basedOn w:val="DefaultParagraphFont"/>
    <w:link w:val="Heading1"/>
    <w:uiPriority w:val="9"/>
    <w:rsid w:val="006401C2"/>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98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363">
      <w:bodyDiv w:val="1"/>
      <w:marLeft w:val="0"/>
      <w:marRight w:val="0"/>
      <w:marTop w:val="0"/>
      <w:marBottom w:val="0"/>
      <w:divBdr>
        <w:top w:val="none" w:sz="0" w:space="0" w:color="auto"/>
        <w:left w:val="none" w:sz="0" w:space="0" w:color="auto"/>
        <w:bottom w:val="none" w:sz="0" w:space="0" w:color="auto"/>
        <w:right w:val="none" w:sz="0" w:space="0" w:color="auto"/>
      </w:divBdr>
    </w:div>
    <w:div w:id="542522543">
      <w:bodyDiv w:val="1"/>
      <w:marLeft w:val="0"/>
      <w:marRight w:val="0"/>
      <w:marTop w:val="0"/>
      <w:marBottom w:val="0"/>
      <w:divBdr>
        <w:top w:val="none" w:sz="0" w:space="0" w:color="auto"/>
        <w:left w:val="none" w:sz="0" w:space="0" w:color="auto"/>
        <w:bottom w:val="none" w:sz="0" w:space="0" w:color="auto"/>
        <w:right w:val="none" w:sz="0" w:space="0" w:color="auto"/>
      </w:divBdr>
      <w:divsChild>
        <w:div w:id="1385525212">
          <w:marLeft w:val="0"/>
          <w:marRight w:val="0"/>
          <w:marTop w:val="0"/>
          <w:marBottom w:val="0"/>
          <w:divBdr>
            <w:top w:val="none" w:sz="0" w:space="0" w:color="auto"/>
            <w:left w:val="none" w:sz="0" w:space="0" w:color="auto"/>
            <w:bottom w:val="none" w:sz="0" w:space="0" w:color="auto"/>
            <w:right w:val="none" w:sz="0" w:space="0" w:color="auto"/>
          </w:divBdr>
        </w:div>
        <w:div w:id="1914389517">
          <w:marLeft w:val="0"/>
          <w:marRight w:val="0"/>
          <w:marTop w:val="0"/>
          <w:marBottom w:val="0"/>
          <w:divBdr>
            <w:top w:val="none" w:sz="0" w:space="0" w:color="auto"/>
            <w:left w:val="none" w:sz="0" w:space="0" w:color="auto"/>
            <w:bottom w:val="none" w:sz="0" w:space="0" w:color="auto"/>
            <w:right w:val="none" w:sz="0" w:space="0" w:color="auto"/>
          </w:divBdr>
        </w:div>
        <w:div w:id="938223876">
          <w:marLeft w:val="0"/>
          <w:marRight w:val="0"/>
          <w:marTop w:val="0"/>
          <w:marBottom w:val="0"/>
          <w:divBdr>
            <w:top w:val="none" w:sz="0" w:space="0" w:color="auto"/>
            <w:left w:val="none" w:sz="0" w:space="0" w:color="auto"/>
            <w:bottom w:val="none" w:sz="0" w:space="0" w:color="auto"/>
            <w:right w:val="none" w:sz="0" w:space="0" w:color="auto"/>
          </w:divBdr>
        </w:div>
      </w:divsChild>
    </w:div>
    <w:div w:id="594753612">
      <w:bodyDiv w:val="1"/>
      <w:marLeft w:val="0"/>
      <w:marRight w:val="0"/>
      <w:marTop w:val="0"/>
      <w:marBottom w:val="0"/>
      <w:divBdr>
        <w:top w:val="none" w:sz="0" w:space="0" w:color="auto"/>
        <w:left w:val="none" w:sz="0" w:space="0" w:color="auto"/>
        <w:bottom w:val="none" w:sz="0" w:space="0" w:color="auto"/>
        <w:right w:val="none" w:sz="0" w:space="0" w:color="auto"/>
      </w:divBdr>
      <w:divsChild>
        <w:div w:id="1725450376">
          <w:marLeft w:val="0"/>
          <w:marRight w:val="0"/>
          <w:marTop w:val="0"/>
          <w:marBottom w:val="0"/>
          <w:divBdr>
            <w:top w:val="none" w:sz="0" w:space="0" w:color="auto"/>
            <w:left w:val="none" w:sz="0" w:space="0" w:color="auto"/>
            <w:bottom w:val="none" w:sz="0" w:space="0" w:color="auto"/>
            <w:right w:val="none" w:sz="0" w:space="0" w:color="auto"/>
          </w:divBdr>
        </w:div>
        <w:div w:id="970864535">
          <w:marLeft w:val="0"/>
          <w:marRight w:val="0"/>
          <w:marTop w:val="0"/>
          <w:marBottom w:val="0"/>
          <w:divBdr>
            <w:top w:val="none" w:sz="0" w:space="0" w:color="auto"/>
            <w:left w:val="none" w:sz="0" w:space="0" w:color="auto"/>
            <w:bottom w:val="none" w:sz="0" w:space="0" w:color="auto"/>
            <w:right w:val="none" w:sz="0" w:space="0" w:color="auto"/>
          </w:divBdr>
        </w:div>
        <w:div w:id="591548215">
          <w:marLeft w:val="0"/>
          <w:marRight w:val="0"/>
          <w:marTop w:val="0"/>
          <w:marBottom w:val="0"/>
          <w:divBdr>
            <w:top w:val="none" w:sz="0" w:space="0" w:color="auto"/>
            <w:left w:val="none" w:sz="0" w:space="0" w:color="auto"/>
            <w:bottom w:val="none" w:sz="0" w:space="0" w:color="auto"/>
            <w:right w:val="none" w:sz="0" w:space="0" w:color="auto"/>
          </w:divBdr>
        </w:div>
        <w:div w:id="595095011">
          <w:marLeft w:val="0"/>
          <w:marRight w:val="0"/>
          <w:marTop w:val="0"/>
          <w:marBottom w:val="0"/>
          <w:divBdr>
            <w:top w:val="none" w:sz="0" w:space="0" w:color="auto"/>
            <w:left w:val="none" w:sz="0" w:space="0" w:color="auto"/>
            <w:bottom w:val="none" w:sz="0" w:space="0" w:color="auto"/>
            <w:right w:val="none" w:sz="0" w:space="0" w:color="auto"/>
          </w:divBdr>
        </w:div>
        <w:div w:id="1151095883">
          <w:marLeft w:val="0"/>
          <w:marRight w:val="0"/>
          <w:marTop w:val="0"/>
          <w:marBottom w:val="0"/>
          <w:divBdr>
            <w:top w:val="none" w:sz="0" w:space="0" w:color="auto"/>
            <w:left w:val="none" w:sz="0" w:space="0" w:color="auto"/>
            <w:bottom w:val="none" w:sz="0" w:space="0" w:color="auto"/>
            <w:right w:val="none" w:sz="0" w:space="0" w:color="auto"/>
          </w:divBdr>
        </w:div>
        <w:div w:id="1652059328">
          <w:marLeft w:val="0"/>
          <w:marRight w:val="0"/>
          <w:marTop w:val="0"/>
          <w:marBottom w:val="0"/>
          <w:divBdr>
            <w:top w:val="none" w:sz="0" w:space="0" w:color="auto"/>
            <w:left w:val="none" w:sz="0" w:space="0" w:color="auto"/>
            <w:bottom w:val="none" w:sz="0" w:space="0" w:color="auto"/>
            <w:right w:val="none" w:sz="0" w:space="0" w:color="auto"/>
          </w:divBdr>
        </w:div>
        <w:div w:id="779878421">
          <w:marLeft w:val="0"/>
          <w:marRight w:val="0"/>
          <w:marTop w:val="0"/>
          <w:marBottom w:val="0"/>
          <w:divBdr>
            <w:top w:val="none" w:sz="0" w:space="0" w:color="auto"/>
            <w:left w:val="none" w:sz="0" w:space="0" w:color="auto"/>
            <w:bottom w:val="none" w:sz="0" w:space="0" w:color="auto"/>
            <w:right w:val="none" w:sz="0" w:space="0" w:color="auto"/>
          </w:divBdr>
        </w:div>
      </w:divsChild>
    </w:div>
    <w:div w:id="1238393495">
      <w:bodyDiv w:val="1"/>
      <w:marLeft w:val="0"/>
      <w:marRight w:val="0"/>
      <w:marTop w:val="0"/>
      <w:marBottom w:val="0"/>
      <w:divBdr>
        <w:top w:val="none" w:sz="0" w:space="0" w:color="auto"/>
        <w:left w:val="none" w:sz="0" w:space="0" w:color="auto"/>
        <w:bottom w:val="none" w:sz="0" w:space="0" w:color="auto"/>
        <w:right w:val="none" w:sz="0" w:space="0" w:color="auto"/>
      </w:divBdr>
      <w:divsChild>
        <w:div w:id="39668758">
          <w:marLeft w:val="0"/>
          <w:marRight w:val="0"/>
          <w:marTop w:val="0"/>
          <w:marBottom w:val="0"/>
          <w:divBdr>
            <w:top w:val="none" w:sz="0" w:space="0" w:color="auto"/>
            <w:left w:val="none" w:sz="0" w:space="0" w:color="auto"/>
            <w:bottom w:val="none" w:sz="0" w:space="0" w:color="auto"/>
            <w:right w:val="none" w:sz="0" w:space="0" w:color="auto"/>
          </w:divBdr>
        </w:div>
        <w:div w:id="48303777">
          <w:marLeft w:val="0"/>
          <w:marRight w:val="0"/>
          <w:marTop w:val="0"/>
          <w:marBottom w:val="0"/>
          <w:divBdr>
            <w:top w:val="none" w:sz="0" w:space="0" w:color="auto"/>
            <w:left w:val="none" w:sz="0" w:space="0" w:color="auto"/>
            <w:bottom w:val="none" w:sz="0" w:space="0" w:color="auto"/>
            <w:right w:val="none" w:sz="0" w:space="0" w:color="auto"/>
          </w:divBdr>
        </w:div>
        <w:div w:id="1439905424">
          <w:marLeft w:val="0"/>
          <w:marRight w:val="0"/>
          <w:marTop w:val="0"/>
          <w:marBottom w:val="0"/>
          <w:divBdr>
            <w:top w:val="none" w:sz="0" w:space="0" w:color="auto"/>
            <w:left w:val="none" w:sz="0" w:space="0" w:color="auto"/>
            <w:bottom w:val="none" w:sz="0" w:space="0" w:color="auto"/>
            <w:right w:val="none" w:sz="0" w:space="0" w:color="auto"/>
          </w:divBdr>
        </w:div>
      </w:divsChild>
    </w:div>
    <w:div w:id="1438258011">
      <w:bodyDiv w:val="1"/>
      <w:marLeft w:val="0"/>
      <w:marRight w:val="0"/>
      <w:marTop w:val="0"/>
      <w:marBottom w:val="0"/>
      <w:divBdr>
        <w:top w:val="none" w:sz="0" w:space="0" w:color="auto"/>
        <w:left w:val="none" w:sz="0" w:space="0" w:color="auto"/>
        <w:bottom w:val="none" w:sz="0" w:space="0" w:color="auto"/>
        <w:right w:val="none" w:sz="0" w:space="0" w:color="auto"/>
      </w:divBdr>
    </w:div>
    <w:div w:id="2005666994">
      <w:bodyDiv w:val="1"/>
      <w:marLeft w:val="0"/>
      <w:marRight w:val="0"/>
      <w:marTop w:val="0"/>
      <w:marBottom w:val="0"/>
      <w:divBdr>
        <w:top w:val="none" w:sz="0" w:space="0" w:color="auto"/>
        <w:left w:val="none" w:sz="0" w:space="0" w:color="auto"/>
        <w:bottom w:val="none" w:sz="0" w:space="0" w:color="auto"/>
        <w:right w:val="none" w:sz="0" w:space="0" w:color="auto"/>
      </w:divBdr>
    </w:div>
    <w:div w:id="2076584679">
      <w:bodyDiv w:val="1"/>
      <w:marLeft w:val="0"/>
      <w:marRight w:val="0"/>
      <w:marTop w:val="0"/>
      <w:marBottom w:val="0"/>
      <w:divBdr>
        <w:top w:val="none" w:sz="0" w:space="0" w:color="auto"/>
        <w:left w:val="none" w:sz="0" w:space="0" w:color="auto"/>
        <w:bottom w:val="none" w:sz="0" w:space="0" w:color="auto"/>
        <w:right w:val="none" w:sz="0" w:space="0" w:color="auto"/>
      </w:divBdr>
      <w:divsChild>
        <w:div w:id="1524519635">
          <w:marLeft w:val="0"/>
          <w:marRight w:val="0"/>
          <w:marTop w:val="0"/>
          <w:marBottom w:val="0"/>
          <w:divBdr>
            <w:top w:val="none" w:sz="0" w:space="0" w:color="auto"/>
            <w:left w:val="none" w:sz="0" w:space="0" w:color="auto"/>
            <w:bottom w:val="none" w:sz="0" w:space="0" w:color="auto"/>
            <w:right w:val="none" w:sz="0" w:space="0" w:color="auto"/>
          </w:divBdr>
        </w:div>
        <w:div w:id="2097747616">
          <w:marLeft w:val="0"/>
          <w:marRight w:val="0"/>
          <w:marTop w:val="0"/>
          <w:marBottom w:val="0"/>
          <w:divBdr>
            <w:top w:val="none" w:sz="0" w:space="0" w:color="auto"/>
            <w:left w:val="none" w:sz="0" w:space="0" w:color="auto"/>
            <w:bottom w:val="none" w:sz="0" w:space="0" w:color="auto"/>
            <w:right w:val="none" w:sz="0" w:space="0" w:color="auto"/>
          </w:divBdr>
        </w:div>
        <w:div w:id="198592335">
          <w:marLeft w:val="0"/>
          <w:marRight w:val="0"/>
          <w:marTop w:val="0"/>
          <w:marBottom w:val="0"/>
          <w:divBdr>
            <w:top w:val="none" w:sz="0" w:space="0" w:color="auto"/>
            <w:left w:val="none" w:sz="0" w:space="0" w:color="auto"/>
            <w:bottom w:val="none" w:sz="0" w:space="0" w:color="auto"/>
            <w:right w:val="none" w:sz="0" w:space="0" w:color="auto"/>
          </w:divBdr>
        </w:div>
        <w:div w:id="1353846412">
          <w:marLeft w:val="0"/>
          <w:marRight w:val="0"/>
          <w:marTop w:val="0"/>
          <w:marBottom w:val="0"/>
          <w:divBdr>
            <w:top w:val="none" w:sz="0" w:space="0" w:color="auto"/>
            <w:left w:val="none" w:sz="0" w:space="0" w:color="auto"/>
            <w:bottom w:val="none" w:sz="0" w:space="0" w:color="auto"/>
            <w:right w:val="none" w:sz="0" w:space="0" w:color="auto"/>
          </w:divBdr>
        </w:div>
        <w:div w:id="713390969">
          <w:marLeft w:val="0"/>
          <w:marRight w:val="0"/>
          <w:marTop w:val="0"/>
          <w:marBottom w:val="0"/>
          <w:divBdr>
            <w:top w:val="none" w:sz="0" w:space="0" w:color="auto"/>
            <w:left w:val="none" w:sz="0" w:space="0" w:color="auto"/>
            <w:bottom w:val="none" w:sz="0" w:space="0" w:color="auto"/>
            <w:right w:val="none" w:sz="0" w:space="0" w:color="auto"/>
          </w:divBdr>
        </w:div>
        <w:div w:id="2071267497">
          <w:marLeft w:val="0"/>
          <w:marRight w:val="0"/>
          <w:marTop w:val="0"/>
          <w:marBottom w:val="0"/>
          <w:divBdr>
            <w:top w:val="none" w:sz="0" w:space="0" w:color="auto"/>
            <w:left w:val="none" w:sz="0" w:space="0" w:color="auto"/>
            <w:bottom w:val="none" w:sz="0" w:space="0" w:color="auto"/>
            <w:right w:val="none" w:sz="0" w:space="0" w:color="auto"/>
          </w:divBdr>
        </w:div>
        <w:div w:id="882330385">
          <w:marLeft w:val="0"/>
          <w:marRight w:val="0"/>
          <w:marTop w:val="0"/>
          <w:marBottom w:val="0"/>
          <w:divBdr>
            <w:top w:val="none" w:sz="0" w:space="0" w:color="auto"/>
            <w:left w:val="none" w:sz="0" w:space="0" w:color="auto"/>
            <w:bottom w:val="none" w:sz="0" w:space="0" w:color="auto"/>
            <w:right w:val="none" w:sz="0" w:space="0" w:color="auto"/>
          </w:divBdr>
        </w:div>
        <w:div w:id="1793791929">
          <w:marLeft w:val="0"/>
          <w:marRight w:val="0"/>
          <w:marTop w:val="0"/>
          <w:marBottom w:val="0"/>
          <w:divBdr>
            <w:top w:val="none" w:sz="0" w:space="0" w:color="auto"/>
            <w:left w:val="none" w:sz="0" w:space="0" w:color="auto"/>
            <w:bottom w:val="none" w:sz="0" w:space="0" w:color="auto"/>
            <w:right w:val="none" w:sz="0" w:space="0" w:color="auto"/>
          </w:divBdr>
        </w:div>
        <w:div w:id="576981526">
          <w:marLeft w:val="0"/>
          <w:marRight w:val="0"/>
          <w:marTop w:val="0"/>
          <w:marBottom w:val="0"/>
          <w:divBdr>
            <w:top w:val="none" w:sz="0" w:space="0" w:color="auto"/>
            <w:left w:val="none" w:sz="0" w:space="0" w:color="auto"/>
            <w:bottom w:val="none" w:sz="0" w:space="0" w:color="auto"/>
            <w:right w:val="none" w:sz="0" w:space="0" w:color="auto"/>
          </w:divBdr>
        </w:div>
        <w:div w:id="1932204232">
          <w:marLeft w:val="0"/>
          <w:marRight w:val="0"/>
          <w:marTop w:val="0"/>
          <w:marBottom w:val="0"/>
          <w:divBdr>
            <w:top w:val="none" w:sz="0" w:space="0" w:color="auto"/>
            <w:left w:val="none" w:sz="0" w:space="0" w:color="auto"/>
            <w:bottom w:val="none" w:sz="0" w:space="0" w:color="auto"/>
            <w:right w:val="none" w:sz="0" w:space="0" w:color="auto"/>
          </w:divBdr>
        </w:div>
        <w:div w:id="83723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Holman</dc:creator>
  <cp:lastModifiedBy>bennett.holman bennett.holman</cp:lastModifiedBy>
  <cp:revision>4</cp:revision>
  <dcterms:created xsi:type="dcterms:W3CDTF">2019-01-23T22:00:00Z</dcterms:created>
  <dcterms:modified xsi:type="dcterms:W3CDTF">2019-01-24T21:05:00Z</dcterms:modified>
</cp:coreProperties>
</file>